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1.svg" ContentType="image/svg+xml"/>
  <Override PartName="/word/media/image2.svg" ContentType="image/svg+xml"/>
  <Override PartName="/word/media/image3.svg" ContentType="image/svg+xml"/>
  <Override PartName="/word/media/image4.svg" ContentType="image/svg+xml"/>
  <Override PartName="/word/media/image5.svg" ContentType="image/svg+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134"/>
        <w:gridCol w:w="7655"/>
        <w:gridCol w:w="14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34" w:type="dxa"/>
            <w:shd w:val="clear" w:color="auto" w:fill="0071BC"/>
            <w:vAlign w:val="center"/>
          </w:tcPr>
          <w:p>
            <w:pPr>
              <w:jc w:val="center"/>
              <w:rPr>
                <w:rFonts w:ascii="Calibri" w:hAnsi="Calibri" w:cs="Calibri"/>
                <w:color w:val="0071BC"/>
              </w:rPr>
            </w:pPr>
            <w:r>
              <w:rPr>
                <w:rFonts w:ascii="Calibri" w:hAnsi="Calibri" w:cs="Calibri"/>
                <w:color w:val="0071BC"/>
              </w:rPr>
              <w:drawing>
                <wp:inline distT="0" distB="0" distL="0" distR="0">
                  <wp:extent cx="359410" cy="479425"/>
                  <wp:effectExtent l="0" t="0" r="2540" b="0"/>
                  <wp:docPr id="12" name="图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形 12"/>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60000" cy="480000"/>
                          </a:xfrm>
                          <a:prstGeom prst="rect">
                            <a:avLst/>
                          </a:prstGeom>
                        </pic:spPr>
                      </pic:pic>
                    </a:graphicData>
                  </a:graphic>
                </wp:inline>
              </w:drawing>
            </w:r>
          </w:p>
        </w:tc>
        <w:tc>
          <w:tcPr>
            <w:tcW w:w="7655" w:type="dxa"/>
            <w:shd w:val="clear" w:color="auto" w:fill="0071BC"/>
            <w:vAlign w:val="center"/>
          </w:tcPr>
          <w:p>
            <w:pPr>
              <w:jc w:val="center"/>
              <w:rPr>
                <w:rFonts w:hint="eastAsia" w:ascii="Calibri" w:hAnsi="Calibri" w:cs="Calibri"/>
                <w:b/>
                <w:bCs/>
                <w:color w:val="FFFFFF" w:themeColor="background1"/>
                <w:sz w:val="48"/>
                <w:szCs w:val="48"/>
                <w14:textFill>
                  <w14:solidFill>
                    <w14:schemeClr w14:val="bg1"/>
                  </w14:solidFill>
                </w14:textFill>
              </w:rPr>
            </w:pPr>
            <w:r>
              <w:rPr>
                <w:rFonts w:ascii="Calibri" w:hAnsi="Calibri" w:cs="Calibri"/>
                <w:b/>
                <w:bCs/>
                <w:color w:val="FFFFFF" w:themeColor="background1"/>
                <w:sz w:val="48"/>
                <w:szCs w:val="48"/>
                <w14:textFill>
                  <w14:solidFill>
                    <w14:schemeClr w14:val="bg1"/>
                  </w14:solidFill>
                </w14:textFill>
              </w:rPr>
              <w:t>剑桥大学格顿</w:t>
            </w:r>
            <w:r>
              <w:rPr>
                <w:rFonts w:hint="eastAsia" w:ascii="Calibri" w:hAnsi="Calibri" w:cs="Calibri"/>
                <w:b/>
                <w:bCs/>
                <w:color w:val="FFFFFF" w:themeColor="background1"/>
                <w:sz w:val="48"/>
                <w:szCs w:val="48"/>
                <w14:textFill>
                  <w14:solidFill>
                    <w14:schemeClr w14:val="bg1"/>
                  </w14:solidFill>
                </w14:textFill>
              </w:rPr>
              <w:t>学院</w:t>
            </w:r>
            <w:r>
              <w:rPr>
                <w:rFonts w:ascii="Calibri" w:hAnsi="Calibri" w:cs="Calibri"/>
                <w:b/>
                <w:bCs/>
                <w:color w:val="FFFFFF" w:themeColor="background1"/>
                <w:sz w:val="48"/>
                <w:szCs w:val="48"/>
                <w14:textFill>
                  <w14:solidFill>
                    <w14:schemeClr w14:val="bg1"/>
                  </w14:solidFill>
                </w14:textFill>
              </w:rPr>
              <w:t>/哈默顿学院</w:t>
            </w:r>
          </w:p>
          <w:p>
            <w:pPr>
              <w:jc w:val="center"/>
              <w:rPr>
                <w:rFonts w:ascii="Calibri" w:hAnsi="Calibri" w:cs="Calibri"/>
                <w:b/>
                <w:bCs/>
                <w:color w:val="FFFFFF" w:themeColor="background1"/>
                <w:sz w:val="44"/>
                <w:szCs w:val="44"/>
                <w14:textFill>
                  <w14:solidFill>
                    <w14:schemeClr w14:val="bg1"/>
                  </w14:solidFill>
                </w14:textFill>
              </w:rPr>
            </w:pPr>
            <w:r>
              <w:rPr>
                <w:rFonts w:hint="eastAsia" w:ascii="Calibri" w:hAnsi="Calibri" w:cs="Calibri"/>
                <w:b/>
                <w:bCs/>
                <w:color w:val="FFFFFF" w:themeColor="background1"/>
                <w:sz w:val="36"/>
                <w:szCs w:val="36"/>
                <w14:textFill>
                  <w14:solidFill>
                    <w14:schemeClr w14:val="bg1"/>
                  </w14:solidFill>
                </w14:textFill>
              </w:rPr>
              <w:t>在线学术课程</w:t>
            </w:r>
          </w:p>
        </w:tc>
        <w:tc>
          <w:tcPr>
            <w:tcW w:w="1415" w:type="dxa"/>
            <w:shd w:val="clear" w:color="auto" w:fill="0071BC"/>
            <w:vAlign w:val="center"/>
          </w:tcPr>
          <w:p>
            <w:pPr>
              <w:jc w:val="center"/>
              <w:rPr>
                <w:rFonts w:ascii="Calibri" w:hAnsi="Calibri" w:cs="Calibri"/>
                <w:b/>
                <w:bCs/>
                <w:color w:val="FFFFFF" w:themeColor="background1"/>
                <w:sz w:val="36"/>
                <w:szCs w:val="36"/>
                <w14:textFill>
                  <w14:solidFill>
                    <w14:schemeClr w14:val="bg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204" w:type="dxa"/>
            <w:gridSpan w:val="3"/>
            <w:tcMar>
              <w:top w:w="85" w:type="dxa"/>
            </w:tcMar>
          </w:tcPr>
          <w:p>
            <w:pPr>
              <w:rPr>
                <w:rFonts w:ascii="Calibri" w:hAnsi="Calibri" w:cs="Calibri"/>
              </w:rPr>
            </w:pPr>
            <w:r>
              <w:rPr>
                <w:rFonts w:ascii="Calibri" w:hAnsi="Calibri" w:cs="Calibri"/>
              </w:rPr>
              <w:drawing>
                <wp:inline distT="0" distB="0" distL="0" distR="0">
                  <wp:extent cx="6479540" cy="2758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6479540" cy="2758440"/>
                          </a:xfrm>
                          <a:prstGeom prst="rect">
                            <a:avLst/>
                          </a:prstGeom>
                        </pic:spPr>
                      </pic:pic>
                    </a:graphicData>
                  </a:graphic>
                </wp:inline>
              </w:drawing>
            </w:r>
          </w:p>
        </w:tc>
      </w:tr>
    </w:tbl>
    <w:p>
      <w:pPr>
        <w:widowControl/>
        <w:rPr>
          <w:rFonts w:ascii="Calibri" w:hAnsi="Calibri" w:cs="Calibri"/>
        </w:rPr>
      </w:pP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682"/>
        <w:gridCol w:w="1656"/>
        <w:gridCol w:w="79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315" w:hRule="atLeast"/>
        </w:trPr>
        <w:tc>
          <w:tcPr>
            <w:tcW w:w="674" w:type="dxa"/>
            <w:tcBorders>
              <w:bottom w:val="single" w:color="0071BC" w:sz="12" w:space="0"/>
            </w:tcBorders>
            <w:shd w:val="clear" w:color="auto" w:fill="0071BC"/>
            <w:tcMar>
              <w:top w:w="0" w:type="dxa"/>
              <w:bottom w:w="0" w:type="dxa"/>
            </w:tcMar>
            <w:vAlign w:val="center"/>
          </w:tcPr>
          <w:p>
            <w:pPr>
              <w:rPr>
                <w:rFonts w:ascii="Calibri" w:hAnsi="Calibri" w:cs="Calibri"/>
                <w:color w:val="FFFFFF" w:themeColor="background1"/>
                <w:szCs w:val="21"/>
                <w14:textFill>
                  <w14:solidFill>
                    <w14:schemeClr w14:val="bg1"/>
                  </w14:solidFill>
                </w14:textFill>
              </w:rPr>
            </w:pPr>
            <w:r>
              <w:rPr>
                <w:rFonts w:ascii="Calibri" w:hAnsi="Calibri" w:cs="Calibri"/>
                <w:color w:val="FFFFFF" w:themeColor="background1"/>
                <w:szCs w:val="21"/>
                <w14:textFill>
                  <w14:solidFill>
                    <w14:schemeClr w14:val="bg1"/>
                  </w14:solidFill>
                </w14:textFill>
              </w:rPr>
              <w:drawing>
                <wp:inline distT="0" distB="0" distL="0" distR="0">
                  <wp:extent cx="278765" cy="287655"/>
                  <wp:effectExtent l="0" t="0" r="6985" b="0"/>
                  <wp:docPr id="14" name="图形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形 14"/>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79000" cy="288000"/>
                          </a:xfrm>
                          <a:prstGeom prst="rect">
                            <a:avLst/>
                          </a:prstGeom>
                        </pic:spPr>
                      </pic:pic>
                    </a:graphicData>
                  </a:graphic>
                </wp:inline>
              </w:drawing>
            </w:r>
          </w:p>
        </w:tc>
        <w:tc>
          <w:tcPr>
            <w:tcW w:w="1638" w:type="dxa"/>
            <w:tcBorders>
              <w:bottom w:val="single" w:color="0071BC" w:sz="12" w:space="0"/>
            </w:tcBorders>
            <w:shd w:val="clear" w:color="auto" w:fill="0071BC"/>
            <w:tcMar>
              <w:top w:w="0" w:type="dxa"/>
              <w:bottom w:w="0" w:type="dxa"/>
            </w:tcMar>
            <w:vAlign w:val="center"/>
          </w:tcPr>
          <w:p>
            <w:pPr>
              <w:rPr>
                <w:rFonts w:ascii="Calibri" w:hAnsi="Calibri" w:cs="Calibri"/>
                <w:b/>
                <w:bCs/>
                <w:color w:val="FFFFFF" w:themeColor="background1"/>
                <w:szCs w:val="21"/>
                <w14:textFill>
                  <w14:solidFill>
                    <w14:schemeClr w14:val="bg1"/>
                  </w14:solidFill>
                </w14:textFill>
              </w:rPr>
            </w:pPr>
            <w:bookmarkStart w:id="0" w:name="项目背景"/>
            <w:r>
              <w:rPr>
                <w:rFonts w:ascii="Calibri" w:hAnsi="Calibri" w:cs="Calibri"/>
                <w:b/>
                <w:bCs/>
                <w:color w:val="FFFFFF" w:themeColor="background1"/>
                <w:sz w:val="32"/>
                <w:szCs w:val="32"/>
                <w14:textFill>
                  <w14:solidFill>
                    <w14:schemeClr w14:val="bg1"/>
                  </w14:solidFill>
                </w14:textFill>
              </w:rPr>
              <w:t>项目背景</w:t>
            </w:r>
            <w:bookmarkEnd w:id="0"/>
          </w:p>
        </w:tc>
        <w:tc>
          <w:tcPr>
            <w:tcW w:w="7892" w:type="dxa"/>
            <w:tcBorders>
              <w:bottom w:val="single" w:color="0071BC" w:sz="12" w:space="0"/>
            </w:tcBorders>
            <w:tcMar>
              <w:top w:w="0" w:type="dxa"/>
              <w:bottom w:w="0" w:type="dxa"/>
            </w:tcMar>
          </w:tcPr>
          <w:p>
            <w:pPr>
              <w:rPr>
                <w:rFonts w:ascii="Calibri" w:hAnsi="Calibri" w:cs="Calibr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shd w:val="clear" w:color="auto" w:fill="auto"/>
            <w:tcMar>
              <w:top w:w="0" w:type="dxa"/>
              <w:left w:w="0" w:type="dxa"/>
              <w:bottom w:w="0" w:type="dxa"/>
              <w:right w:w="0" w:type="dxa"/>
            </w:tcMar>
          </w:tcPr>
          <w:p>
            <w:pPr>
              <w:spacing w:line="180" w:lineRule="exact"/>
              <w:rPr>
                <w:rFonts w:ascii="Calibri" w:hAnsi="Calibri" w:cs="Calibr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shd w:val="clear" w:color="auto" w:fill="CBE4F9"/>
          </w:tcPr>
          <w:p>
            <w:pPr>
              <w:spacing w:line="288" w:lineRule="auto"/>
              <w:rPr>
                <w:rFonts w:ascii="Calibri" w:hAnsi="Calibri" w:cs="Calibri"/>
                <w:sz w:val="23"/>
                <w:szCs w:val="23"/>
              </w:rPr>
            </w:pPr>
            <w:r>
              <w:rPr>
                <w:rFonts w:ascii="Calibri" w:hAnsi="Calibri" w:cs="Calibri"/>
                <w:sz w:val="23"/>
                <w:szCs w:val="23"/>
              </w:rPr>
              <w:t>为了让中国大学生有机会体验世界一流名校的学习氛围，剑</w:t>
            </w:r>
            <w:bookmarkStart w:id="9" w:name="_GoBack"/>
            <w:r>
              <w:rPr>
                <w:rFonts w:ascii="Calibri" w:hAnsi="Calibri" w:cs="Calibri"/>
                <w:sz w:val="23"/>
                <w:szCs w:val="23"/>
              </w:rPr>
              <w:t>桥大学格顿/哈默顿学院将为学员提供在线学习的机会，课程将由专业领域教师授课</w:t>
            </w:r>
            <w:bookmarkEnd w:id="9"/>
            <w:r>
              <w:rPr>
                <w:rFonts w:ascii="Calibri" w:hAnsi="Calibri" w:cs="Calibri"/>
                <w:sz w:val="23"/>
                <w:szCs w:val="23"/>
              </w:rPr>
              <w:t>，项目涵盖专业课程、小组讨论、结业汇报等内容，最大程度的让学员在短时间体验剑桥大学的学术特色、提升自身知识储备。课程结束后，主办学院将为学员颁发结业证书与成绩评定报告。</w:t>
            </w:r>
          </w:p>
        </w:tc>
      </w:tr>
    </w:tbl>
    <w:p>
      <w:pPr>
        <w:rPr>
          <w:rFonts w:ascii="Calibri" w:hAnsi="Calibri" w:cs="Calibri"/>
        </w:rPr>
      </w:pP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689"/>
        <w:gridCol w:w="466"/>
        <w:gridCol w:w="1191"/>
        <w:gridCol w:w="1381"/>
        <w:gridCol w:w="3152"/>
        <w:gridCol w:w="1290"/>
        <w:gridCol w:w="21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681" w:type="dxa"/>
            <w:tcBorders>
              <w:bottom w:val="single" w:color="0071BC" w:sz="12" w:space="0"/>
            </w:tcBorders>
            <w:shd w:val="clear" w:color="auto" w:fill="0071BC"/>
            <w:tcMar>
              <w:top w:w="0" w:type="dxa"/>
              <w:bottom w:w="0" w:type="dxa"/>
            </w:tcMar>
            <w:vAlign w:val="center"/>
          </w:tcPr>
          <w:p>
            <w:pPr>
              <w:rPr>
                <w:rFonts w:ascii="Calibri" w:hAnsi="Calibri" w:cs="Calibri"/>
                <w:szCs w:val="21"/>
              </w:rPr>
            </w:pPr>
            <w:r>
              <w:rPr>
                <w:rFonts w:ascii="Calibri" w:hAnsi="Calibri" w:cs="Calibri"/>
                <w:szCs w:val="21"/>
              </w:rPr>
              <w:drawing>
                <wp:inline distT="0" distB="0" distL="0" distR="0">
                  <wp:extent cx="287655" cy="287655"/>
                  <wp:effectExtent l="0" t="0" r="0" b="0"/>
                  <wp:docPr id="50" name="图形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形 50"/>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8000" cy="288000"/>
                          </a:xfrm>
                          <a:prstGeom prst="rect">
                            <a:avLst/>
                          </a:prstGeom>
                        </pic:spPr>
                      </pic:pic>
                    </a:graphicData>
                  </a:graphic>
                </wp:inline>
              </w:drawing>
            </w:r>
          </w:p>
        </w:tc>
        <w:tc>
          <w:tcPr>
            <w:tcW w:w="1639" w:type="dxa"/>
            <w:gridSpan w:val="2"/>
            <w:tcBorders>
              <w:bottom w:val="single" w:color="0071BC" w:sz="12" w:space="0"/>
            </w:tcBorders>
            <w:shd w:val="clear" w:color="auto" w:fill="0071BC"/>
            <w:tcMar>
              <w:top w:w="0" w:type="dxa"/>
              <w:bottom w:w="0" w:type="dxa"/>
            </w:tcMar>
            <w:vAlign w:val="center"/>
          </w:tcPr>
          <w:p>
            <w:pPr>
              <w:rPr>
                <w:rFonts w:ascii="Calibri" w:hAnsi="Calibri" w:cs="Calibri"/>
                <w:szCs w:val="21"/>
              </w:rPr>
            </w:pPr>
            <w:bookmarkStart w:id="1" w:name="项目主题"/>
            <w:r>
              <w:rPr>
                <w:rFonts w:ascii="Calibri" w:hAnsi="Calibri" w:cs="Calibri"/>
                <w:b/>
                <w:bCs/>
                <w:color w:val="FFFFFF" w:themeColor="background1"/>
                <w:sz w:val="32"/>
                <w:szCs w:val="32"/>
                <w14:textFill>
                  <w14:solidFill>
                    <w14:schemeClr w14:val="bg1"/>
                  </w14:solidFill>
                </w14:textFill>
              </w:rPr>
              <w:t>项目主题</w:t>
            </w:r>
            <w:bookmarkEnd w:id="1"/>
          </w:p>
        </w:tc>
        <w:tc>
          <w:tcPr>
            <w:tcW w:w="7884" w:type="dxa"/>
            <w:gridSpan w:val="4"/>
            <w:tcBorders>
              <w:bottom w:val="single" w:color="0071BC" w:sz="12" w:space="0"/>
            </w:tcBorders>
            <w:tcMar>
              <w:top w:w="0" w:type="dxa"/>
              <w:bottom w:w="0" w:type="dxa"/>
            </w:tcMar>
          </w:tcPr>
          <w:p>
            <w:pPr>
              <w:rPr>
                <w:rFonts w:ascii="Calibri" w:hAnsi="Calibri" w:cs="Calibr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7"/>
            <w:tcBorders>
              <w:top w:val="single" w:color="0071BC" w:sz="12" w:space="0"/>
            </w:tcBorders>
          </w:tcPr>
          <w:p>
            <w:pPr>
              <w:spacing w:line="160" w:lineRule="exact"/>
              <w:rPr>
                <w:rFonts w:ascii="Calibri" w:hAnsi="Calibri" w:cs="Calibr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142" w:type="dxa"/>
            <w:gridSpan w:val="2"/>
          </w:tcPr>
          <w:p>
            <w:pPr>
              <w:spacing w:line="288" w:lineRule="auto"/>
              <w:jc w:val="center"/>
              <w:rPr>
                <w:rFonts w:ascii="Calibri" w:hAnsi="Calibri" w:cs="Calibri"/>
                <w:szCs w:val="21"/>
              </w:rPr>
            </w:pPr>
            <w:r>
              <w:rPr>
                <w:rFonts w:ascii="Calibri" w:hAnsi="Calibri" w:cs="Calibri"/>
                <w:b/>
                <w:bCs/>
                <w:sz w:val="23"/>
                <w:szCs w:val="23"/>
              </w:rPr>
              <w:t>编号</w:t>
            </w:r>
          </w:p>
        </w:tc>
        <w:tc>
          <w:tcPr>
            <w:tcW w:w="2544" w:type="dxa"/>
            <w:gridSpan w:val="2"/>
          </w:tcPr>
          <w:p>
            <w:pPr>
              <w:spacing w:line="288" w:lineRule="auto"/>
              <w:jc w:val="center"/>
              <w:rPr>
                <w:rFonts w:ascii="Calibri" w:hAnsi="Calibri" w:cs="Calibri"/>
                <w:szCs w:val="21"/>
              </w:rPr>
            </w:pPr>
            <w:r>
              <w:rPr>
                <w:rFonts w:ascii="Calibri" w:hAnsi="Calibri" w:cs="Calibri"/>
                <w:b/>
                <w:bCs/>
                <w:sz w:val="23"/>
                <w:szCs w:val="23"/>
              </w:rPr>
              <w:t>主题</w:t>
            </w:r>
          </w:p>
        </w:tc>
        <w:tc>
          <w:tcPr>
            <w:tcW w:w="3117" w:type="dxa"/>
          </w:tcPr>
          <w:p>
            <w:pPr>
              <w:spacing w:line="288" w:lineRule="auto"/>
              <w:jc w:val="center"/>
              <w:rPr>
                <w:rFonts w:ascii="Calibri" w:hAnsi="Calibri" w:cs="Calibri"/>
                <w:szCs w:val="21"/>
              </w:rPr>
            </w:pPr>
            <w:r>
              <w:rPr>
                <w:rFonts w:ascii="Calibri" w:hAnsi="Calibri" w:cs="Calibri"/>
                <w:b/>
                <w:bCs/>
                <w:sz w:val="23"/>
                <w:szCs w:val="23"/>
              </w:rPr>
              <w:t>日期</w:t>
            </w:r>
          </w:p>
        </w:tc>
        <w:tc>
          <w:tcPr>
            <w:tcW w:w="1276" w:type="dxa"/>
          </w:tcPr>
          <w:p>
            <w:pPr>
              <w:spacing w:line="288" w:lineRule="auto"/>
              <w:jc w:val="center"/>
              <w:rPr>
                <w:rFonts w:ascii="Calibri" w:hAnsi="Calibri" w:cs="Calibri"/>
                <w:szCs w:val="21"/>
              </w:rPr>
            </w:pPr>
            <w:r>
              <w:rPr>
                <w:rFonts w:ascii="Calibri" w:hAnsi="Calibri" w:cs="Calibri"/>
                <w:b/>
                <w:bCs/>
                <w:sz w:val="23"/>
                <w:szCs w:val="23"/>
              </w:rPr>
              <w:t>时长</w:t>
            </w:r>
          </w:p>
        </w:tc>
        <w:tc>
          <w:tcPr>
            <w:tcW w:w="2125" w:type="dxa"/>
          </w:tcPr>
          <w:p>
            <w:pPr>
              <w:spacing w:line="288" w:lineRule="auto"/>
              <w:jc w:val="center"/>
              <w:rPr>
                <w:rFonts w:ascii="Calibri" w:hAnsi="Calibri" w:cs="Calibri"/>
                <w:szCs w:val="21"/>
              </w:rPr>
            </w:pPr>
            <w:r>
              <w:rPr>
                <w:rFonts w:ascii="Calibri" w:hAnsi="Calibri" w:cs="Calibri"/>
                <w:b/>
                <w:bCs/>
                <w:sz w:val="23"/>
                <w:szCs w:val="23"/>
              </w:rPr>
              <w:t>项目费用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142" w:type="dxa"/>
            <w:gridSpan w:val="2"/>
            <w:vAlign w:val="center"/>
          </w:tcPr>
          <w:p>
            <w:pPr>
              <w:spacing w:line="276" w:lineRule="auto"/>
              <w:jc w:val="center"/>
              <w:rPr>
                <w:rFonts w:ascii="Calibri" w:hAnsi="Calibri" w:cs="Calibri"/>
                <w:b/>
                <w:bCs/>
                <w:sz w:val="23"/>
                <w:szCs w:val="23"/>
              </w:rPr>
            </w:pPr>
            <w:r>
              <w:rPr>
                <w:rFonts w:ascii="Calibri" w:hAnsi="Calibri" w:cs="Calibri"/>
                <w:sz w:val="23"/>
                <w:szCs w:val="23"/>
              </w:rPr>
              <w:t>UCGO1</w:t>
            </w:r>
          </w:p>
        </w:tc>
        <w:tc>
          <w:tcPr>
            <w:tcW w:w="2544" w:type="dxa"/>
            <w:gridSpan w:val="2"/>
            <w:vAlign w:val="center"/>
          </w:tcPr>
          <w:p>
            <w:pPr>
              <w:spacing w:line="276" w:lineRule="auto"/>
              <w:jc w:val="center"/>
              <w:rPr>
                <w:rFonts w:ascii="Calibri" w:hAnsi="Calibri" w:cs="Calibri"/>
                <w:b/>
                <w:bCs/>
                <w:color w:val="0071BC"/>
                <w:sz w:val="23"/>
                <w:szCs w:val="23"/>
              </w:rPr>
            </w:pPr>
            <w:r>
              <w:rPr>
                <w:rFonts w:ascii="Calibri" w:hAnsi="Calibri" w:cs="Calibri"/>
                <w:b/>
                <w:bCs/>
                <w:sz w:val="23"/>
                <w:szCs w:val="23"/>
              </w:rPr>
              <w:t>经济学与公共政策</w:t>
            </w:r>
          </w:p>
        </w:tc>
        <w:tc>
          <w:tcPr>
            <w:tcW w:w="3117" w:type="dxa"/>
            <w:vAlign w:val="center"/>
          </w:tcPr>
          <w:p>
            <w:pPr>
              <w:spacing w:line="276" w:lineRule="auto"/>
              <w:jc w:val="center"/>
              <w:rPr>
                <w:rFonts w:ascii="Calibri" w:hAnsi="Calibri" w:cs="Calibri"/>
                <w:sz w:val="23"/>
                <w:szCs w:val="23"/>
              </w:rPr>
            </w:pPr>
            <w:r>
              <w:rPr>
                <w:rFonts w:ascii="Calibri" w:hAnsi="Calibri" w:cs="Calibri"/>
                <w:sz w:val="23"/>
                <w:szCs w:val="23"/>
              </w:rPr>
              <w:t>2020.11.14 – 2020.12.19</w:t>
            </w:r>
          </w:p>
          <w:p>
            <w:pPr>
              <w:spacing w:line="276" w:lineRule="auto"/>
              <w:jc w:val="center"/>
              <w:rPr>
                <w:rFonts w:ascii="Calibri" w:hAnsi="Calibri" w:cs="Calibri" w:eastAsiaTheme="minorHAnsi"/>
                <w:b/>
                <w:bCs/>
                <w:sz w:val="23"/>
                <w:szCs w:val="23"/>
              </w:rPr>
            </w:pPr>
            <w:r>
              <w:rPr>
                <w:rFonts w:ascii="Calibri" w:hAnsi="Calibri" w:cs="Calibri"/>
                <w:sz w:val="23"/>
                <w:szCs w:val="23"/>
              </w:rPr>
              <w:t>2021.01.23 – 2021.02.28</w:t>
            </w:r>
          </w:p>
        </w:tc>
        <w:tc>
          <w:tcPr>
            <w:tcW w:w="1276" w:type="dxa"/>
            <w:vAlign w:val="center"/>
          </w:tcPr>
          <w:p>
            <w:pPr>
              <w:spacing w:line="276" w:lineRule="auto"/>
              <w:jc w:val="center"/>
              <w:rPr>
                <w:rFonts w:ascii="Calibri" w:hAnsi="Calibri" w:cs="Calibri" w:eastAsiaTheme="minorHAnsi"/>
                <w:b/>
                <w:bCs/>
                <w:sz w:val="23"/>
                <w:szCs w:val="23"/>
              </w:rPr>
            </w:pPr>
            <w:r>
              <w:rPr>
                <w:rFonts w:ascii="Calibri" w:hAnsi="Calibri" w:cs="Calibri"/>
                <w:sz w:val="23"/>
                <w:szCs w:val="23"/>
              </w:rPr>
              <w:t>6周</w:t>
            </w:r>
          </w:p>
        </w:tc>
        <w:tc>
          <w:tcPr>
            <w:tcW w:w="2125" w:type="dxa"/>
            <w:vAlign w:val="center"/>
          </w:tcPr>
          <w:p>
            <w:pPr>
              <w:spacing w:line="276" w:lineRule="auto"/>
              <w:jc w:val="center"/>
              <w:rPr>
                <w:rFonts w:ascii="Calibri" w:hAnsi="Calibri" w:cs="Calibri" w:eastAsiaTheme="minorHAnsi"/>
                <w:b/>
                <w:bCs/>
                <w:sz w:val="23"/>
                <w:szCs w:val="23"/>
              </w:rPr>
            </w:pPr>
            <w:r>
              <w:rPr>
                <w:rFonts w:ascii="Calibri" w:hAnsi="Calibri" w:cs="Calibri"/>
                <w:sz w:val="23"/>
                <w:szCs w:val="23"/>
              </w:rPr>
              <w:t>7980元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142" w:type="dxa"/>
            <w:gridSpan w:val="2"/>
            <w:vAlign w:val="center"/>
          </w:tcPr>
          <w:p>
            <w:pPr>
              <w:spacing w:line="276" w:lineRule="auto"/>
              <w:jc w:val="center"/>
              <w:rPr>
                <w:rFonts w:ascii="Calibri" w:hAnsi="Calibri" w:cs="Calibri"/>
                <w:sz w:val="23"/>
                <w:szCs w:val="23"/>
              </w:rPr>
            </w:pPr>
            <w:r>
              <w:rPr>
                <w:rFonts w:ascii="Calibri" w:hAnsi="Calibri" w:cs="Calibri"/>
                <w:sz w:val="23"/>
                <w:szCs w:val="23"/>
              </w:rPr>
              <w:t>UCGO2</w:t>
            </w:r>
          </w:p>
        </w:tc>
        <w:tc>
          <w:tcPr>
            <w:tcW w:w="2544" w:type="dxa"/>
            <w:gridSpan w:val="2"/>
            <w:vAlign w:val="center"/>
          </w:tcPr>
          <w:p>
            <w:pPr>
              <w:spacing w:line="276" w:lineRule="auto"/>
              <w:jc w:val="center"/>
              <w:rPr>
                <w:rFonts w:ascii="Calibri" w:hAnsi="Calibri" w:cs="Calibri"/>
                <w:b/>
                <w:bCs/>
                <w:color w:val="0071BC"/>
                <w:sz w:val="23"/>
                <w:szCs w:val="23"/>
              </w:rPr>
            </w:pPr>
            <w:r>
              <w:rPr>
                <w:rFonts w:ascii="Calibri" w:hAnsi="Calibri" w:cs="Calibri"/>
                <w:b/>
                <w:bCs/>
                <w:sz w:val="23"/>
                <w:szCs w:val="23"/>
              </w:rPr>
              <w:t>商业战略与管理</w:t>
            </w:r>
          </w:p>
        </w:tc>
        <w:tc>
          <w:tcPr>
            <w:tcW w:w="3117" w:type="dxa"/>
            <w:vAlign w:val="center"/>
          </w:tcPr>
          <w:p>
            <w:pPr>
              <w:spacing w:line="276" w:lineRule="auto"/>
              <w:jc w:val="center"/>
              <w:rPr>
                <w:rFonts w:ascii="Calibri" w:hAnsi="Calibri" w:cs="Calibri"/>
                <w:sz w:val="23"/>
                <w:szCs w:val="23"/>
              </w:rPr>
            </w:pPr>
            <w:r>
              <w:rPr>
                <w:rFonts w:ascii="Calibri" w:hAnsi="Calibri" w:cs="Calibri"/>
                <w:sz w:val="23"/>
                <w:szCs w:val="23"/>
              </w:rPr>
              <w:t>2020.11.14 – 2020.12.19</w:t>
            </w:r>
          </w:p>
          <w:p>
            <w:pPr>
              <w:spacing w:line="276" w:lineRule="auto"/>
              <w:jc w:val="center"/>
              <w:rPr>
                <w:rFonts w:ascii="Calibri" w:hAnsi="Calibri" w:cs="Calibri" w:eastAsiaTheme="minorHAnsi"/>
                <w:sz w:val="23"/>
                <w:szCs w:val="23"/>
              </w:rPr>
            </w:pPr>
            <w:r>
              <w:rPr>
                <w:rFonts w:ascii="Calibri" w:hAnsi="Calibri" w:cs="Calibri"/>
                <w:sz w:val="23"/>
                <w:szCs w:val="23"/>
              </w:rPr>
              <w:t>2021.01.23 – 2021.02.28</w:t>
            </w:r>
          </w:p>
        </w:tc>
        <w:tc>
          <w:tcPr>
            <w:tcW w:w="1276" w:type="dxa"/>
            <w:vAlign w:val="center"/>
          </w:tcPr>
          <w:p>
            <w:pPr>
              <w:spacing w:line="276" w:lineRule="auto"/>
              <w:jc w:val="center"/>
              <w:rPr>
                <w:rFonts w:ascii="Calibri" w:hAnsi="Calibri" w:cs="Calibri" w:eastAsiaTheme="minorHAnsi"/>
                <w:sz w:val="23"/>
                <w:szCs w:val="23"/>
              </w:rPr>
            </w:pPr>
            <w:r>
              <w:rPr>
                <w:rFonts w:ascii="Calibri" w:hAnsi="Calibri" w:cs="Calibri"/>
                <w:sz w:val="23"/>
                <w:szCs w:val="23"/>
              </w:rPr>
              <w:t>6周</w:t>
            </w:r>
          </w:p>
        </w:tc>
        <w:tc>
          <w:tcPr>
            <w:tcW w:w="2125" w:type="dxa"/>
            <w:vAlign w:val="center"/>
          </w:tcPr>
          <w:p>
            <w:pPr>
              <w:spacing w:line="276" w:lineRule="auto"/>
              <w:jc w:val="center"/>
              <w:rPr>
                <w:rFonts w:ascii="Calibri" w:hAnsi="Calibri" w:cs="Calibri" w:eastAsiaTheme="minorHAnsi"/>
                <w:sz w:val="23"/>
                <w:szCs w:val="23"/>
              </w:rPr>
            </w:pPr>
            <w:r>
              <w:rPr>
                <w:rFonts w:ascii="Calibri" w:hAnsi="Calibri" w:cs="Calibri"/>
                <w:sz w:val="23"/>
                <w:szCs w:val="23"/>
              </w:rPr>
              <w:t>7980元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142" w:type="dxa"/>
            <w:gridSpan w:val="2"/>
            <w:vAlign w:val="center"/>
          </w:tcPr>
          <w:p>
            <w:pPr>
              <w:spacing w:line="276" w:lineRule="auto"/>
              <w:jc w:val="center"/>
              <w:rPr>
                <w:rFonts w:ascii="Calibri" w:hAnsi="Calibri" w:cs="Calibri"/>
                <w:sz w:val="23"/>
                <w:szCs w:val="23"/>
              </w:rPr>
            </w:pPr>
            <w:r>
              <w:rPr>
                <w:rFonts w:ascii="Calibri" w:hAnsi="Calibri" w:cs="Calibri"/>
                <w:sz w:val="23"/>
                <w:szCs w:val="23"/>
              </w:rPr>
              <w:t>UCGO3</w:t>
            </w:r>
          </w:p>
        </w:tc>
        <w:tc>
          <w:tcPr>
            <w:tcW w:w="2544" w:type="dxa"/>
            <w:gridSpan w:val="2"/>
            <w:vAlign w:val="center"/>
          </w:tcPr>
          <w:p>
            <w:pPr>
              <w:spacing w:line="276" w:lineRule="auto"/>
              <w:jc w:val="center"/>
              <w:rPr>
                <w:rFonts w:ascii="Calibri" w:hAnsi="Calibri" w:cs="Calibri"/>
                <w:b/>
                <w:bCs/>
                <w:color w:val="0071BC"/>
                <w:sz w:val="23"/>
                <w:szCs w:val="23"/>
              </w:rPr>
            </w:pPr>
            <w:r>
              <w:rPr>
                <w:rFonts w:ascii="Calibri" w:hAnsi="Calibri" w:cs="Calibri"/>
                <w:b/>
                <w:bCs/>
                <w:sz w:val="23"/>
                <w:szCs w:val="23"/>
              </w:rPr>
              <w:t>人文学与西方文化</w:t>
            </w:r>
          </w:p>
        </w:tc>
        <w:tc>
          <w:tcPr>
            <w:tcW w:w="3117" w:type="dxa"/>
            <w:vAlign w:val="center"/>
          </w:tcPr>
          <w:p>
            <w:pPr>
              <w:spacing w:line="276" w:lineRule="auto"/>
              <w:jc w:val="center"/>
              <w:rPr>
                <w:rFonts w:ascii="Calibri" w:hAnsi="Calibri" w:cs="Calibri"/>
                <w:sz w:val="23"/>
                <w:szCs w:val="23"/>
              </w:rPr>
            </w:pPr>
            <w:r>
              <w:rPr>
                <w:rFonts w:ascii="Calibri" w:hAnsi="Calibri" w:cs="Calibri"/>
                <w:sz w:val="23"/>
                <w:szCs w:val="23"/>
              </w:rPr>
              <w:t>2020.11.14 – 2020.12.19</w:t>
            </w:r>
          </w:p>
          <w:p>
            <w:pPr>
              <w:spacing w:line="276" w:lineRule="auto"/>
              <w:jc w:val="center"/>
              <w:rPr>
                <w:rFonts w:ascii="Calibri" w:hAnsi="Calibri" w:cs="Calibri" w:eastAsiaTheme="minorHAnsi"/>
                <w:sz w:val="23"/>
                <w:szCs w:val="23"/>
              </w:rPr>
            </w:pPr>
            <w:r>
              <w:rPr>
                <w:rFonts w:ascii="Calibri" w:hAnsi="Calibri" w:cs="Calibri"/>
                <w:sz w:val="23"/>
                <w:szCs w:val="23"/>
              </w:rPr>
              <w:t>2021.01.23 – 2021.02.28</w:t>
            </w:r>
          </w:p>
        </w:tc>
        <w:tc>
          <w:tcPr>
            <w:tcW w:w="1276" w:type="dxa"/>
            <w:vAlign w:val="center"/>
          </w:tcPr>
          <w:p>
            <w:pPr>
              <w:spacing w:line="276" w:lineRule="auto"/>
              <w:jc w:val="center"/>
              <w:rPr>
                <w:rFonts w:ascii="Calibri" w:hAnsi="Calibri" w:cs="Calibri" w:eastAsiaTheme="minorHAnsi"/>
                <w:sz w:val="23"/>
                <w:szCs w:val="23"/>
              </w:rPr>
            </w:pPr>
            <w:r>
              <w:rPr>
                <w:rFonts w:ascii="Calibri" w:hAnsi="Calibri" w:cs="Calibri"/>
                <w:sz w:val="23"/>
                <w:szCs w:val="23"/>
              </w:rPr>
              <w:t>6周</w:t>
            </w:r>
          </w:p>
        </w:tc>
        <w:tc>
          <w:tcPr>
            <w:tcW w:w="2125" w:type="dxa"/>
            <w:vAlign w:val="center"/>
          </w:tcPr>
          <w:p>
            <w:pPr>
              <w:spacing w:line="276" w:lineRule="auto"/>
              <w:jc w:val="center"/>
              <w:rPr>
                <w:rFonts w:ascii="Calibri" w:hAnsi="Calibri" w:cs="Calibri" w:eastAsiaTheme="minorHAnsi"/>
                <w:sz w:val="23"/>
                <w:szCs w:val="23"/>
              </w:rPr>
            </w:pPr>
            <w:r>
              <w:rPr>
                <w:rFonts w:ascii="Calibri" w:hAnsi="Calibri" w:cs="Calibri"/>
                <w:sz w:val="23"/>
                <w:szCs w:val="23"/>
              </w:rPr>
              <w:t>7980元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142" w:type="dxa"/>
            <w:gridSpan w:val="2"/>
            <w:vAlign w:val="center"/>
          </w:tcPr>
          <w:p>
            <w:pPr>
              <w:spacing w:line="276" w:lineRule="auto"/>
              <w:jc w:val="center"/>
              <w:rPr>
                <w:rFonts w:ascii="Calibri" w:hAnsi="Calibri" w:cs="Calibri"/>
                <w:b/>
                <w:bCs/>
                <w:sz w:val="23"/>
                <w:szCs w:val="23"/>
              </w:rPr>
            </w:pPr>
            <w:r>
              <w:rPr>
                <w:rFonts w:ascii="Calibri" w:hAnsi="Calibri" w:cs="Calibri"/>
                <w:sz w:val="23"/>
                <w:szCs w:val="23"/>
              </w:rPr>
              <w:t>UCHO</w:t>
            </w:r>
            <w:r>
              <w:rPr>
                <w:rFonts w:hint="eastAsia" w:ascii="Calibri" w:hAnsi="Calibri" w:cs="Calibri"/>
                <w:sz w:val="23"/>
                <w:szCs w:val="23"/>
              </w:rPr>
              <w:t>1</w:t>
            </w:r>
          </w:p>
        </w:tc>
        <w:tc>
          <w:tcPr>
            <w:tcW w:w="2544" w:type="dxa"/>
            <w:gridSpan w:val="2"/>
            <w:vAlign w:val="center"/>
          </w:tcPr>
          <w:p>
            <w:pPr>
              <w:spacing w:line="276" w:lineRule="auto"/>
              <w:jc w:val="center"/>
              <w:rPr>
                <w:rFonts w:ascii="Calibri" w:hAnsi="Calibri" w:cs="Calibri"/>
                <w:b/>
                <w:bCs/>
                <w:sz w:val="23"/>
                <w:szCs w:val="23"/>
              </w:rPr>
            </w:pPr>
            <w:r>
              <w:rPr>
                <w:rFonts w:ascii="Calibri" w:hAnsi="Calibri" w:cs="Calibri"/>
                <w:b/>
                <w:bCs/>
                <w:sz w:val="23"/>
                <w:szCs w:val="23"/>
              </w:rPr>
              <w:t>全球领导力与英语文化</w:t>
            </w:r>
          </w:p>
        </w:tc>
        <w:tc>
          <w:tcPr>
            <w:tcW w:w="3117" w:type="dxa"/>
          </w:tcPr>
          <w:p>
            <w:pPr>
              <w:spacing w:line="276" w:lineRule="auto"/>
              <w:jc w:val="center"/>
              <w:rPr>
                <w:rFonts w:ascii="Calibri" w:hAnsi="Calibri" w:cs="Calibri"/>
                <w:sz w:val="23"/>
                <w:szCs w:val="23"/>
              </w:rPr>
            </w:pPr>
            <w:r>
              <w:rPr>
                <w:rFonts w:hint="eastAsia" w:ascii="Calibri" w:hAnsi="Calibri" w:cs="Calibri"/>
                <w:sz w:val="23"/>
                <w:szCs w:val="23"/>
              </w:rPr>
              <w:t>2021.</w:t>
            </w:r>
            <w:r>
              <w:rPr>
                <w:rFonts w:ascii="Calibri" w:hAnsi="Calibri" w:cs="Calibri"/>
                <w:sz w:val="23"/>
                <w:szCs w:val="23"/>
              </w:rPr>
              <w:t xml:space="preserve">02.01 – </w:t>
            </w:r>
            <w:r>
              <w:rPr>
                <w:rFonts w:hint="eastAsia" w:ascii="Calibri" w:hAnsi="Calibri" w:cs="Calibri"/>
                <w:sz w:val="23"/>
                <w:szCs w:val="23"/>
              </w:rPr>
              <w:t>2021.</w:t>
            </w:r>
            <w:r>
              <w:rPr>
                <w:rFonts w:ascii="Calibri" w:hAnsi="Calibri" w:cs="Calibri"/>
                <w:sz w:val="23"/>
                <w:szCs w:val="23"/>
              </w:rPr>
              <w:t>02.05</w:t>
            </w:r>
          </w:p>
        </w:tc>
        <w:tc>
          <w:tcPr>
            <w:tcW w:w="1276" w:type="dxa"/>
          </w:tcPr>
          <w:p>
            <w:pPr>
              <w:spacing w:line="276" w:lineRule="auto"/>
              <w:jc w:val="center"/>
              <w:rPr>
                <w:rFonts w:ascii="Calibri" w:hAnsi="Calibri" w:cs="Calibri"/>
                <w:sz w:val="23"/>
                <w:szCs w:val="23"/>
              </w:rPr>
            </w:pPr>
            <w:r>
              <w:rPr>
                <w:rFonts w:ascii="Calibri" w:hAnsi="Calibri" w:cs="Calibri"/>
                <w:sz w:val="23"/>
                <w:szCs w:val="23"/>
              </w:rPr>
              <w:t>5天</w:t>
            </w:r>
          </w:p>
        </w:tc>
        <w:tc>
          <w:tcPr>
            <w:tcW w:w="2125" w:type="dxa"/>
          </w:tcPr>
          <w:p>
            <w:pPr>
              <w:spacing w:line="276" w:lineRule="auto"/>
              <w:jc w:val="center"/>
              <w:rPr>
                <w:rFonts w:ascii="Calibri" w:hAnsi="Calibri" w:cs="Calibri"/>
                <w:sz w:val="23"/>
                <w:szCs w:val="23"/>
              </w:rPr>
            </w:pPr>
            <w:r>
              <w:rPr>
                <w:rFonts w:ascii="Calibri" w:hAnsi="Calibri" w:cs="Calibri"/>
                <w:sz w:val="23"/>
                <w:szCs w:val="23"/>
              </w:rPr>
              <w:t>7980元</w:t>
            </w:r>
          </w:p>
        </w:tc>
      </w:tr>
    </w:tbl>
    <w:p>
      <w:pPr>
        <w:widowControl/>
        <w:jc w:val="left"/>
        <w:rPr>
          <w:rFonts w:ascii="Calibri" w:hAnsi="Calibri" w:cs="Calibri"/>
          <w:szCs w:val="21"/>
        </w:rPr>
      </w:pPr>
    </w:p>
    <w:p>
      <w:pPr>
        <w:widowControl/>
        <w:jc w:val="left"/>
        <w:rPr>
          <w:rFonts w:ascii="Calibri" w:hAnsi="Calibri" w:cs="Calibri"/>
          <w:szCs w:val="21"/>
        </w:rPr>
      </w:pPr>
    </w:p>
    <w:p>
      <w:pPr>
        <w:widowControl/>
        <w:jc w:val="left"/>
        <w:rPr>
          <w:rFonts w:ascii="Calibri" w:hAnsi="Calibri" w:cs="Calibri"/>
          <w:szCs w:val="21"/>
        </w:rPr>
      </w:pPr>
    </w:p>
    <w:p>
      <w:pPr>
        <w:widowControl/>
        <w:jc w:val="left"/>
        <w:rPr>
          <w:rFonts w:ascii="Calibri" w:hAnsi="Calibri" w:cs="Calibri"/>
          <w:szCs w:val="21"/>
        </w:rPr>
      </w:pPr>
    </w:p>
    <w:p>
      <w:pPr>
        <w:widowControl/>
        <w:jc w:val="left"/>
        <w:rPr>
          <w:rFonts w:ascii="Calibri" w:hAnsi="Calibri" w:cs="Calibri"/>
          <w:szCs w:val="21"/>
        </w:rPr>
      </w:pP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690"/>
        <w:gridCol w:w="1659"/>
        <w:gridCol w:w="79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682" w:type="dxa"/>
            <w:tcBorders>
              <w:bottom w:val="single" w:color="0071BC" w:sz="12" w:space="0"/>
            </w:tcBorders>
            <w:shd w:val="clear" w:color="auto" w:fill="0071BC"/>
            <w:tcMar>
              <w:top w:w="0" w:type="dxa"/>
              <w:bottom w:w="0" w:type="dxa"/>
            </w:tcMar>
            <w:vAlign w:val="center"/>
          </w:tcPr>
          <w:p>
            <w:pPr>
              <w:rPr>
                <w:rFonts w:ascii="Calibri" w:hAnsi="Calibri" w:cs="Calibri"/>
                <w:color w:val="0071BC"/>
                <w:szCs w:val="21"/>
              </w:rPr>
            </w:pPr>
            <w:r>
              <w:rPr>
                <w:rFonts w:ascii="Calibri" w:hAnsi="Calibri" w:cs="Calibri"/>
                <w:color w:val="0071BC"/>
                <w:szCs w:val="21"/>
              </w:rPr>
              <w:drawing>
                <wp:inline distT="0" distB="0" distL="0" distR="0">
                  <wp:extent cx="287655" cy="287655"/>
                  <wp:effectExtent l="0" t="0" r="0" b="0"/>
                  <wp:docPr id="25" name="图形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形 25"/>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8000" cy="288000"/>
                          </a:xfrm>
                          <a:prstGeom prst="rect">
                            <a:avLst/>
                          </a:prstGeom>
                        </pic:spPr>
                      </pic:pic>
                    </a:graphicData>
                  </a:graphic>
                </wp:inline>
              </w:drawing>
            </w:r>
          </w:p>
        </w:tc>
        <w:tc>
          <w:tcPr>
            <w:tcW w:w="1641" w:type="dxa"/>
            <w:tcBorders>
              <w:bottom w:val="single" w:color="0071BC" w:sz="12" w:space="0"/>
            </w:tcBorders>
            <w:shd w:val="clear" w:color="auto" w:fill="0071BC"/>
            <w:tcMar>
              <w:top w:w="0" w:type="dxa"/>
              <w:bottom w:w="0" w:type="dxa"/>
            </w:tcMar>
            <w:vAlign w:val="center"/>
          </w:tcPr>
          <w:p>
            <w:pPr>
              <w:rPr>
                <w:rFonts w:ascii="Calibri" w:hAnsi="Calibri" w:cs="Calibri"/>
                <w:color w:val="0071BC"/>
                <w:szCs w:val="21"/>
              </w:rPr>
            </w:pPr>
            <w:bookmarkStart w:id="2" w:name="大学简介"/>
            <w:r>
              <w:rPr>
                <w:rFonts w:ascii="Calibri" w:hAnsi="Calibri" w:cs="Calibri"/>
                <w:b/>
                <w:bCs/>
                <w:color w:val="FFFFFF" w:themeColor="background1"/>
                <w:sz w:val="32"/>
                <w:szCs w:val="32"/>
                <w14:textFill>
                  <w14:solidFill>
                    <w14:schemeClr w14:val="bg1"/>
                  </w14:solidFill>
                </w14:textFill>
              </w:rPr>
              <w:t>学院简介</w:t>
            </w:r>
            <w:bookmarkEnd w:id="2"/>
          </w:p>
        </w:tc>
        <w:tc>
          <w:tcPr>
            <w:tcW w:w="7881" w:type="dxa"/>
            <w:tcBorders>
              <w:bottom w:val="single" w:color="0071BC" w:sz="12" w:space="0"/>
            </w:tcBorders>
            <w:tcMar>
              <w:top w:w="0" w:type="dxa"/>
              <w:bottom w:w="0" w:type="dxa"/>
            </w:tcMar>
          </w:tcPr>
          <w:p>
            <w:pPr>
              <w:rPr>
                <w:rFonts w:ascii="Calibri" w:hAnsi="Calibri" w:cs="Calibr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pStyle w:val="11"/>
              <w:spacing w:line="160" w:lineRule="exact"/>
              <w:ind w:firstLine="0" w:firstLineChars="0"/>
              <w:rPr>
                <w:rFonts w:ascii="Calibri" w:hAnsi="Calibri" w:cs="Calibr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spacing w:after="156" w:afterLines="50"/>
              <w:rPr>
                <w:rFonts w:ascii="Calibri" w:hAnsi="Calibri" w:cs="Calibri"/>
                <w:b/>
                <w:bCs/>
                <w:color w:val="0071BC"/>
                <w:sz w:val="24"/>
                <w:szCs w:val="24"/>
              </w:rPr>
            </w:pPr>
            <w:r>
              <w:rPr>
                <w:rFonts w:ascii="Calibri" w:hAnsi="Calibri" w:cs="Calibri"/>
              </w:rPr>
              <w:drawing>
                <wp:anchor distT="0" distB="0" distL="114300" distR="114300" simplePos="0" relativeHeight="251659264" behindDoc="0" locked="0" layoutInCell="1" allowOverlap="1">
                  <wp:simplePos x="0" y="0"/>
                  <wp:positionH relativeFrom="column">
                    <wp:posOffset>-36195</wp:posOffset>
                  </wp:positionH>
                  <wp:positionV relativeFrom="paragraph">
                    <wp:posOffset>-27305</wp:posOffset>
                  </wp:positionV>
                  <wp:extent cx="6479540" cy="15824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79540" cy="1582420"/>
                          </a:xfrm>
                          <a:prstGeom prst="rect">
                            <a:avLst/>
                          </a:prstGeom>
                        </pic:spPr>
                      </pic:pic>
                    </a:graphicData>
                  </a:graphic>
                </wp:anchor>
              </w:drawing>
            </w:r>
          </w:p>
          <w:p>
            <w:pPr>
              <w:spacing w:after="156" w:afterLines="50"/>
              <w:rPr>
                <w:rFonts w:ascii="Calibri" w:hAnsi="Calibri" w:cs="Calibri"/>
                <w:b/>
                <w:bCs/>
                <w:color w:val="0071BC"/>
                <w:sz w:val="24"/>
                <w:szCs w:val="24"/>
              </w:rPr>
            </w:pPr>
          </w:p>
          <w:p>
            <w:pPr>
              <w:spacing w:after="156" w:afterLines="50"/>
              <w:rPr>
                <w:rFonts w:ascii="Calibri" w:hAnsi="Calibri" w:cs="Calibri"/>
                <w:b/>
                <w:bCs/>
                <w:color w:val="0071BC"/>
                <w:sz w:val="24"/>
                <w:szCs w:val="24"/>
              </w:rPr>
            </w:pPr>
          </w:p>
          <w:p>
            <w:pPr>
              <w:spacing w:after="156" w:afterLines="50"/>
              <w:rPr>
                <w:rFonts w:ascii="Calibri" w:hAnsi="Calibri" w:cs="Calibri"/>
                <w:b/>
                <w:bCs/>
                <w:color w:val="0071BC"/>
                <w:sz w:val="24"/>
                <w:szCs w:val="24"/>
              </w:rPr>
            </w:pPr>
          </w:p>
          <w:p>
            <w:pPr>
              <w:spacing w:after="156" w:afterLines="50"/>
              <w:rPr>
                <w:rFonts w:ascii="Calibri" w:hAnsi="Calibri" w:cs="Calibri"/>
                <w:b/>
                <w:bCs/>
                <w:color w:val="0071BC"/>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spacing w:after="156" w:afterLines="50"/>
              <w:rPr>
                <w:rFonts w:ascii="Calibri" w:hAnsi="Calibri" w:cs="Calibri"/>
                <w:b/>
                <w:bCs/>
                <w:color w:val="0071BC"/>
                <w:sz w:val="24"/>
                <w:szCs w:val="24"/>
              </w:rPr>
            </w:pPr>
            <w:r>
              <w:rPr>
                <w:rFonts w:ascii="Calibri" w:hAnsi="Calibri" w:cs="Calibri"/>
                <w:b/>
                <w:bCs/>
                <w:color w:val="0071BC"/>
                <w:sz w:val="24"/>
                <w:szCs w:val="24"/>
              </w:rPr>
              <w:t>剑桥大学格顿学院</w:t>
            </w:r>
          </w:p>
          <w:p>
            <w:pPr>
              <w:spacing w:after="156" w:afterLines="50"/>
              <w:rPr>
                <w:rFonts w:ascii="Calibri" w:hAnsi="Calibri" w:cs="Calibri"/>
                <w:sz w:val="23"/>
                <w:szCs w:val="23"/>
              </w:rPr>
            </w:pPr>
            <w:r>
              <w:rPr>
                <w:rFonts w:ascii="Calibri" w:hAnsi="Calibri" w:cs="Calibri"/>
                <w:sz w:val="23"/>
                <w:szCs w:val="23"/>
              </w:rPr>
              <w:t>格顿学院是剑桥大学31个学院之一。学院成立于1869年，由艾米丽·戴维斯和芭芭拉·波迪肯创立，是剑桥的第一个女子学院。1948年，被剑桥大学授予它完全的学院地位，标志着女性可以正式进入剑桥大学。1976年，它成为剑桥第一所男女同校的女子学院。格顿学院有着改变世界的光辉历史，一直在平等和包容的问题上走在前列。从成立之初到现在，格顿都在改变着人们的生活，并塑造着人们的未来。</w:t>
            </w:r>
          </w:p>
          <w:p>
            <w:pPr>
              <w:spacing w:after="156" w:afterLines="50"/>
              <w:rPr>
                <w:rFonts w:ascii="Calibri" w:hAnsi="Calibri" w:cs="Calibri"/>
                <w:sz w:val="23"/>
                <w:szCs w:val="23"/>
              </w:rPr>
            </w:pPr>
            <w:r>
              <w:rPr>
                <w:rFonts w:ascii="Calibri" w:hAnsi="Calibri" w:cs="Calibri"/>
                <w:sz w:val="23"/>
                <w:szCs w:val="23"/>
              </w:rPr>
              <w:t>现在的格顿学院是一个充满活力、热情的学者社区。格顿学院的主校区在格顿，位于剑桥大学城西北2.5英里处（4公里）处，占地33英亩（13.4公顷）。大多数建筑都是由建筑师阿尔弗雷德·沃特豪斯(Alfred Waterhouse)在1872年至1887年间建造的，采用典型的维多利亚式红砖设计。格顿的著名校友包括丹麦女王玛格丽特二世、英国最高法院院长黑尔夫人、《赫芬顿邮报》联合创始人阿丽安娜·赫芬顿、喜剧演员兼作家桑蒂·托克斯维格、喜剧演员兼播音员菲尔·哈蒙德、经济学家琼·罗宾逊和人类学家玛丽莲·斯特拉斯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spacing w:after="156" w:afterLines="50"/>
              <w:rPr>
                <w:rFonts w:ascii="Calibri" w:hAnsi="Calibri" w:cs="Calibri"/>
                <w:b/>
                <w:bCs/>
                <w:color w:val="0071BC"/>
                <w:sz w:val="24"/>
                <w:szCs w:val="24"/>
              </w:rPr>
            </w:pPr>
            <w:r>
              <w:rPr>
                <w:rFonts w:ascii="Calibri" w:hAnsi="Calibri" w:cs="Calibri"/>
                <w:b/>
                <w:bCs/>
                <w:color w:val="0071BC"/>
                <w:sz w:val="24"/>
                <w:szCs w:val="24"/>
              </w:rPr>
              <w:t>剑桥大学哈默顿学院</w:t>
            </w:r>
          </w:p>
          <w:p>
            <w:pPr>
              <w:spacing w:after="156" w:afterLines="50"/>
              <w:rPr>
                <w:rFonts w:ascii="Calibri" w:hAnsi="Calibri" w:cs="Calibri"/>
                <w:b/>
                <w:bCs/>
                <w:color w:val="0071BC"/>
                <w:sz w:val="23"/>
                <w:szCs w:val="23"/>
              </w:rPr>
            </w:pPr>
            <w:r>
              <w:rPr>
                <w:rFonts w:ascii="Calibri" w:hAnsi="Calibri" w:cs="Calibri"/>
                <w:sz w:val="23"/>
                <w:szCs w:val="23"/>
              </w:rPr>
              <w:t>哈默顿学院是剑桥最吸引人的学院之一，新老建筑混合在宽阔的树林里，远离喧闹的市中心。就学生人数而言，它也是最大的学院，拥有一个繁荣和多样化的学习社区。</w:t>
            </w:r>
          </w:p>
          <w:p>
            <w:pPr>
              <w:spacing w:after="156" w:afterLines="50"/>
              <w:rPr>
                <w:rFonts w:ascii="Calibri" w:hAnsi="Calibri" w:cs="Calibri"/>
                <w:sz w:val="23"/>
                <w:szCs w:val="23"/>
              </w:rPr>
            </w:pPr>
            <w:r>
              <w:rPr>
                <w:rFonts w:ascii="Calibri" w:hAnsi="Calibri" w:cs="Calibri"/>
                <w:sz w:val="23"/>
                <w:szCs w:val="23"/>
              </w:rPr>
              <w:t>哈默顿的历史可以追溯到17世纪晚期，直至1768年于伦敦获得第一个校址，所以2018年是哈默顿成立250周年的纪念日。学院一直与公共服务和学术界有着紧密的联系，多年来，学院培养了一批有相当影响力的校友，包括著名的异见思想家、教育家、政治家和传教士探索者。哈默顿保持着自己特点，同时也将自己250年独特的历史带到剑桥大学中。哈默顿的第一个校址于1768年在伦敦的Homerton高街建立，从那时起，就不断地适应着世界的变化：</w:t>
            </w:r>
          </w:p>
          <w:p>
            <w:pPr>
              <w:rPr>
                <w:rFonts w:ascii="Calibri" w:hAnsi="Calibri" w:cs="Calibri"/>
                <w:sz w:val="23"/>
                <w:szCs w:val="23"/>
              </w:rPr>
            </w:pPr>
            <w:r>
              <w:rPr>
                <w:rFonts w:ascii="Calibri" w:hAnsi="Calibri" w:cs="Calibri"/>
                <w:sz w:val="23"/>
                <w:szCs w:val="23"/>
              </w:rPr>
              <w:t>1695年：“Congregational Fund”在伦敦成立，为加尔文教的牧师提供教育，并为除了牛津大学和剑桥大学之外提供更多的教育选择。</w:t>
            </w:r>
          </w:p>
          <w:p>
            <w:pPr>
              <w:widowControl/>
              <w:shd w:val="clear" w:color="auto" w:fill="FFFFFF"/>
              <w:jc w:val="left"/>
              <w:textAlignment w:val="baseline"/>
              <w:outlineLvl w:val="2"/>
              <w:rPr>
                <w:rFonts w:ascii="Calibri" w:hAnsi="Calibri" w:cs="Calibri"/>
                <w:sz w:val="23"/>
                <w:szCs w:val="23"/>
              </w:rPr>
            </w:pPr>
            <w:r>
              <w:rPr>
                <w:rFonts w:ascii="Calibri" w:hAnsi="Calibri" w:cs="Calibri"/>
                <w:sz w:val="23"/>
                <w:szCs w:val="23"/>
              </w:rPr>
              <w:t>1730年：“ Kings Head Society” 成立，开展每周系列课程。</w:t>
            </w:r>
          </w:p>
          <w:p>
            <w:pPr>
              <w:pStyle w:val="2"/>
              <w:shd w:val="clear" w:color="auto" w:fill="FFFFFF"/>
              <w:spacing w:before="0" w:beforeAutospacing="0" w:after="0" w:afterAutospacing="0"/>
              <w:textAlignment w:val="baseline"/>
              <w:rPr>
                <w:rFonts w:ascii="Calibri" w:hAnsi="Calibri" w:cs="Calibri" w:eastAsiaTheme="minorEastAsia"/>
                <w:b w:val="0"/>
                <w:bCs w:val="0"/>
                <w:kern w:val="2"/>
                <w:sz w:val="23"/>
                <w:szCs w:val="23"/>
              </w:rPr>
            </w:pPr>
            <w:r>
              <w:rPr>
                <w:rFonts w:ascii="Calibri" w:hAnsi="Calibri" w:cs="Calibri" w:eastAsiaTheme="minorEastAsia"/>
                <w:b w:val="0"/>
                <w:bCs w:val="0"/>
                <w:kern w:val="2"/>
                <w:sz w:val="23"/>
                <w:szCs w:val="23"/>
              </w:rPr>
              <w:t>1768年：在 Homerton High Street购买校址。这所学校开始有了常驻学者，常驻教师，以及第一位校长，并命名为“Homerton”。</w:t>
            </w:r>
          </w:p>
          <w:p>
            <w:pPr>
              <w:pStyle w:val="2"/>
              <w:shd w:val="clear" w:color="auto" w:fill="FFFFFF"/>
              <w:spacing w:before="0" w:beforeAutospacing="0" w:after="0" w:afterAutospacing="0"/>
              <w:textAlignment w:val="baseline"/>
              <w:rPr>
                <w:rFonts w:ascii="Calibri" w:hAnsi="Calibri" w:cs="Calibri" w:eastAsiaTheme="minorEastAsia"/>
                <w:b w:val="0"/>
                <w:bCs w:val="0"/>
                <w:kern w:val="2"/>
                <w:sz w:val="23"/>
                <w:szCs w:val="23"/>
              </w:rPr>
            </w:pPr>
            <w:r>
              <w:rPr>
                <w:rFonts w:ascii="Calibri" w:hAnsi="Calibri" w:cs="Calibri" w:eastAsiaTheme="minorEastAsia"/>
                <w:b w:val="0"/>
                <w:bCs w:val="0"/>
                <w:kern w:val="2"/>
                <w:sz w:val="23"/>
                <w:szCs w:val="23"/>
              </w:rPr>
              <w:t>1817年：更名为“Homerton Academy Society ” (后更名为“Homerton College Society”)。</w:t>
            </w:r>
          </w:p>
          <w:p>
            <w:pPr>
              <w:pStyle w:val="2"/>
              <w:shd w:val="clear" w:color="auto" w:fill="FFFFFF"/>
              <w:spacing w:before="0" w:beforeAutospacing="0" w:after="0" w:afterAutospacing="0"/>
              <w:textAlignment w:val="baseline"/>
              <w:rPr>
                <w:rFonts w:ascii="Calibri" w:hAnsi="Calibri" w:cs="Calibri" w:eastAsiaTheme="minorEastAsia"/>
                <w:b w:val="0"/>
                <w:bCs w:val="0"/>
                <w:kern w:val="2"/>
                <w:sz w:val="23"/>
                <w:szCs w:val="23"/>
              </w:rPr>
            </w:pPr>
            <w:r>
              <w:rPr>
                <w:rFonts w:ascii="Calibri" w:hAnsi="Calibri" w:cs="Calibri" w:eastAsiaTheme="minorEastAsia"/>
                <w:b w:val="0"/>
                <w:bCs w:val="0"/>
                <w:kern w:val="2"/>
                <w:sz w:val="23"/>
                <w:szCs w:val="23"/>
              </w:rPr>
              <w:t>1850年：由公理会教育委员会重建，成为专业教师培训学院。</w:t>
            </w:r>
          </w:p>
          <w:p>
            <w:pPr>
              <w:widowControl/>
              <w:shd w:val="clear" w:color="auto" w:fill="FFFFFF"/>
              <w:jc w:val="left"/>
              <w:textAlignment w:val="baseline"/>
              <w:rPr>
                <w:rFonts w:ascii="Calibri" w:hAnsi="Calibri" w:cs="Calibri"/>
                <w:sz w:val="23"/>
                <w:szCs w:val="23"/>
              </w:rPr>
            </w:pPr>
            <w:r>
              <w:rPr>
                <w:rFonts w:ascii="Calibri" w:hAnsi="Calibri" w:cs="Calibri"/>
                <w:sz w:val="23"/>
                <w:szCs w:val="23"/>
              </w:rPr>
              <w:t>1894年：校址转移到剑桥，收购卡文迪学院。</w:t>
            </w:r>
          </w:p>
          <w:p>
            <w:pPr>
              <w:pStyle w:val="2"/>
              <w:shd w:val="clear" w:color="auto" w:fill="FFFFFF"/>
              <w:spacing w:before="0" w:beforeAutospacing="0" w:after="0" w:afterAutospacing="0"/>
              <w:textAlignment w:val="baseline"/>
              <w:rPr>
                <w:rFonts w:ascii="Calibri" w:hAnsi="Calibri" w:cs="Calibri" w:eastAsiaTheme="minorEastAsia"/>
                <w:b w:val="0"/>
                <w:bCs w:val="0"/>
                <w:kern w:val="2"/>
                <w:sz w:val="23"/>
                <w:szCs w:val="23"/>
              </w:rPr>
            </w:pPr>
            <w:r>
              <w:rPr>
                <w:rFonts w:ascii="Calibri" w:hAnsi="Calibri" w:cs="Calibri" w:eastAsiaTheme="minorEastAsia"/>
                <w:b w:val="0"/>
                <w:bCs w:val="0"/>
                <w:kern w:val="2"/>
                <w:sz w:val="23"/>
                <w:szCs w:val="23"/>
              </w:rPr>
              <w:t>1976年：成为剑桥大学认可的学院。</w:t>
            </w:r>
          </w:p>
          <w:p>
            <w:pPr>
              <w:widowControl/>
              <w:shd w:val="clear" w:color="auto" w:fill="FFFFFF"/>
              <w:jc w:val="left"/>
              <w:textAlignment w:val="baseline"/>
              <w:rPr>
                <w:rFonts w:ascii="Calibri" w:hAnsi="Calibri" w:cs="Calibri"/>
                <w:sz w:val="23"/>
                <w:szCs w:val="23"/>
              </w:rPr>
            </w:pPr>
            <w:r>
              <w:rPr>
                <w:rFonts w:ascii="Calibri" w:hAnsi="Calibri" w:cs="Calibri"/>
                <w:sz w:val="23"/>
                <w:szCs w:val="23"/>
              </w:rPr>
              <w:t>2001年：成为剑桥大学的一个完整的学院，提供各学科教育。</w:t>
            </w:r>
          </w:p>
          <w:p>
            <w:pPr>
              <w:spacing w:after="156" w:afterLines="50"/>
              <w:rPr>
                <w:rFonts w:ascii="Calibri" w:hAnsi="Calibri" w:cs="Calibri"/>
                <w:sz w:val="23"/>
                <w:szCs w:val="23"/>
              </w:rPr>
            </w:pPr>
            <w:r>
              <w:rPr>
                <w:rFonts w:ascii="Calibri" w:hAnsi="Calibri" w:cs="Calibri"/>
                <w:sz w:val="23"/>
                <w:szCs w:val="23"/>
              </w:rPr>
              <w:t>2010年：皇家特许，使哈默顿学院成为剑桥大学完全自治的学院。</w:t>
            </w:r>
          </w:p>
        </w:tc>
      </w:tr>
    </w:tbl>
    <w:p>
      <w:pPr>
        <w:widowControl/>
        <w:jc w:val="left"/>
        <w:rPr>
          <w:rFonts w:ascii="Calibri" w:hAnsi="Calibri" w:cs="Calibri"/>
        </w:rPr>
      </w:pPr>
      <w:bookmarkStart w:id="3" w:name="_Hlk44772724"/>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724"/>
        <w:gridCol w:w="1528"/>
        <w:gridCol w:w="2907"/>
        <w:gridCol w:w="51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716" w:type="dxa"/>
            <w:tcBorders>
              <w:bottom w:val="single" w:color="0071BC" w:sz="12" w:space="0"/>
            </w:tcBorders>
            <w:shd w:val="clear" w:color="auto" w:fill="0071BC"/>
            <w:tcMar>
              <w:top w:w="0" w:type="dxa"/>
              <w:bottom w:w="0" w:type="dxa"/>
            </w:tcMar>
            <w:vAlign w:val="center"/>
          </w:tcPr>
          <w:p>
            <w:pPr>
              <w:rPr>
                <w:rFonts w:ascii="Calibri" w:hAnsi="Calibri" w:cs="Calibri"/>
                <w:szCs w:val="21"/>
              </w:rPr>
            </w:pPr>
            <w:r>
              <w:rPr>
                <w:rFonts w:ascii="Calibri" w:hAnsi="Calibri" w:cs="Calibri"/>
                <w:szCs w:val="21"/>
              </w:rPr>
              <w:drawing>
                <wp:inline distT="0" distB="0" distL="0" distR="0">
                  <wp:extent cx="287655" cy="287655"/>
                  <wp:effectExtent l="0" t="0" r="0" b="0"/>
                  <wp:docPr id="31" name="图形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形 64"/>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8000" cy="288000"/>
                          </a:xfrm>
                          <a:prstGeom prst="rect">
                            <a:avLst/>
                          </a:prstGeom>
                        </pic:spPr>
                      </pic:pic>
                    </a:graphicData>
                  </a:graphic>
                </wp:inline>
              </w:drawing>
            </w:r>
          </w:p>
        </w:tc>
        <w:tc>
          <w:tcPr>
            <w:tcW w:w="1511" w:type="dxa"/>
            <w:tcBorders>
              <w:bottom w:val="single" w:color="0071BC" w:sz="12" w:space="0"/>
            </w:tcBorders>
            <w:shd w:val="clear" w:color="auto" w:fill="0071BC"/>
            <w:tcMar>
              <w:top w:w="0" w:type="dxa"/>
              <w:bottom w:w="0" w:type="dxa"/>
            </w:tcMar>
            <w:vAlign w:val="center"/>
          </w:tcPr>
          <w:p>
            <w:pPr>
              <w:rPr>
                <w:rFonts w:ascii="Calibri" w:hAnsi="Calibri" w:cs="Calibri"/>
                <w:szCs w:val="21"/>
              </w:rPr>
            </w:pPr>
            <w:r>
              <w:rPr>
                <w:rFonts w:ascii="Calibri" w:hAnsi="Calibri" w:cs="Calibri"/>
                <w:b/>
                <w:bCs/>
                <w:color w:val="FFFFFF" w:themeColor="background1"/>
                <w:sz w:val="32"/>
                <w:szCs w:val="32"/>
                <w14:textFill>
                  <w14:solidFill>
                    <w14:schemeClr w14:val="bg1"/>
                  </w14:solidFill>
                </w14:textFill>
              </w:rPr>
              <w:t>项目收获</w:t>
            </w:r>
          </w:p>
        </w:tc>
        <w:tc>
          <w:tcPr>
            <w:tcW w:w="7977" w:type="dxa"/>
            <w:gridSpan w:val="2"/>
            <w:tcBorders>
              <w:bottom w:val="single" w:color="0071BC" w:sz="12" w:space="0"/>
            </w:tcBorders>
            <w:tcMar>
              <w:top w:w="0" w:type="dxa"/>
              <w:bottom w:w="0" w:type="dxa"/>
            </w:tcMar>
          </w:tcPr>
          <w:p>
            <w:pPr>
              <w:rPr>
                <w:rFonts w:ascii="Calibri" w:hAnsi="Calibri" w:cs="Calibr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4"/>
            <w:tcBorders>
              <w:top w:val="single" w:color="0071BC" w:sz="12" w:space="0"/>
            </w:tcBorders>
            <w:tcMar>
              <w:top w:w="0" w:type="dxa"/>
              <w:left w:w="0" w:type="dxa"/>
              <w:bottom w:w="0" w:type="dxa"/>
              <w:right w:w="0" w:type="dxa"/>
            </w:tcMar>
          </w:tcPr>
          <w:p>
            <w:pPr>
              <w:spacing w:line="180" w:lineRule="exact"/>
              <w:rPr>
                <w:rFonts w:ascii="Calibri" w:hAnsi="Calibri" w:cs="Calibr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4"/>
            <w:shd w:val="clear" w:color="auto" w:fill="CBE4F9"/>
          </w:tcPr>
          <w:p>
            <w:pPr>
              <w:spacing w:line="264" w:lineRule="auto"/>
              <w:rPr>
                <w:rFonts w:ascii="Calibri" w:hAnsi="Calibri" w:cs="Calibri"/>
                <w:kern w:val="0"/>
                <w:sz w:val="23"/>
                <w:szCs w:val="23"/>
              </w:rPr>
            </w:pPr>
            <w:r>
              <w:rPr>
                <w:rFonts w:ascii="Calibri" w:hAnsi="Calibri" w:cs="Calibri" w:eastAsiaTheme="minorHAnsi"/>
                <w:sz w:val="23"/>
                <w:szCs w:val="23"/>
              </w:rPr>
              <w:t>顺利完成在线项目的学员，将获得由剑桥大学主办学院</w:t>
            </w:r>
            <w:r>
              <w:rPr>
                <w:rFonts w:ascii="Calibri" w:hAnsi="Calibri" w:cs="Calibri" w:eastAsiaTheme="minorHAnsi"/>
                <w:color w:val="000000" w:themeColor="text1"/>
                <w:sz w:val="23"/>
                <w:szCs w:val="23"/>
                <w14:textFill>
                  <w14:solidFill>
                    <w14:schemeClr w14:val="tx1"/>
                  </w14:solidFill>
                </w14:textFill>
              </w:rPr>
              <w:t>颁发的结业证书与等级评定报告。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4"/>
          </w:tcPr>
          <w:p>
            <w:pPr>
              <w:spacing w:line="264" w:lineRule="auto"/>
              <w:rPr>
                <w:rFonts w:ascii="Calibri" w:hAnsi="Calibri" w:cs="Calibri"/>
                <w:b/>
                <w:bCs/>
                <w:color w:val="0071BC"/>
                <w:sz w:val="28"/>
                <w:szCs w:val="28"/>
                <w:u w:val="single"/>
              </w:rPr>
            </w:pPr>
            <w:r>
              <w:rPr>
                <w:rFonts w:ascii="Calibri" w:hAnsi="Calibri" w:cs="Calibri"/>
                <w:b/>
                <w:bCs/>
                <w:color w:val="0071BC"/>
                <w:sz w:val="28"/>
                <w:szCs w:val="28"/>
                <w:u w:val="single"/>
              </w:rPr>
              <w:t>结业证书</w:t>
            </w:r>
          </w:p>
          <w:p>
            <w:pPr>
              <w:spacing w:line="264" w:lineRule="auto"/>
              <w:rPr>
                <w:rFonts w:ascii="Calibri" w:hAnsi="Calibri" w:cs="Calibri"/>
                <w:szCs w:val="21"/>
              </w:rPr>
            </w:pPr>
            <w:r>
              <w:rPr>
                <w:rFonts w:ascii="Calibri" w:hAnsi="Calibri" w:cs="Calibri"/>
                <w:color w:val="000000" w:themeColor="text1"/>
                <w:sz w:val="23"/>
                <w:szCs w:val="23"/>
                <w14:textFill>
                  <w14:solidFill>
                    <w14:schemeClr w14:val="tx1"/>
                  </w14:solidFill>
                </w14:textFill>
              </w:rPr>
              <w:t>顺利完成在线课程的学员，将获得由主办学院颁发的结业证书，既是对学员顺利结业的认可，也是对课程学习的证明。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4"/>
          </w:tcPr>
          <w:p>
            <w:pPr>
              <w:spacing w:line="264" w:lineRule="auto"/>
              <w:rPr>
                <w:rFonts w:ascii="Calibri" w:hAnsi="Calibri" w:cs="Calibri" w:eastAsiaTheme="minorHAnsi"/>
                <w:b/>
                <w:bCs/>
                <w:color w:val="0071BC"/>
                <w:sz w:val="28"/>
                <w:szCs w:val="28"/>
                <w:u w:val="single"/>
              </w:rPr>
            </w:pPr>
            <w:r>
              <w:rPr>
                <w:rFonts w:ascii="Calibri" w:hAnsi="Calibri" w:cs="Calibri" w:eastAsiaTheme="minorHAnsi"/>
                <w:b/>
                <w:bCs/>
                <w:color w:val="0071BC"/>
                <w:sz w:val="28"/>
                <w:szCs w:val="28"/>
                <w:u w:val="single"/>
              </w:rPr>
              <w:t>等级评定报告</w:t>
            </w:r>
          </w:p>
          <w:p>
            <w:pPr>
              <w:spacing w:line="264" w:lineRule="auto"/>
              <w:rPr>
                <w:rFonts w:ascii="Calibri" w:hAnsi="Calibri" w:cs="Calibri"/>
                <w:b/>
                <w:bCs/>
                <w:color w:val="0071BC"/>
                <w:sz w:val="28"/>
                <w:szCs w:val="28"/>
                <w:u w:val="single"/>
              </w:rPr>
            </w:pPr>
            <w:r>
              <w:rPr>
                <w:rFonts w:ascii="Calibri" w:hAnsi="Calibri" w:cs="Calibri"/>
                <w:color w:val="000000" w:themeColor="text1"/>
                <w:sz w:val="23"/>
                <w:szCs w:val="23"/>
                <w14:textFill>
                  <w14:solidFill>
                    <w14:schemeClr w14:val="tx1"/>
                  </w14:solidFill>
                </w14:textFill>
              </w:rPr>
              <w:t>主办学院根据每位学员的课堂表现、作业情况、结业展示等环节进行评分，为学员颁发成绩评定报告</w:t>
            </w:r>
            <w:r>
              <w:rPr>
                <w:rFonts w:ascii="Calibri" w:hAnsi="Calibri" w:cs="Calibri" w:eastAsiaTheme="minorHAnsi"/>
                <w:color w:val="000000" w:themeColor="text1"/>
                <w:sz w:val="23"/>
                <w:szCs w:val="23"/>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102" w:type="dxa"/>
            <w:gridSpan w:val="3"/>
            <w:vAlign w:val="center"/>
          </w:tcPr>
          <w:p>
            <w:pPr>
              <w:spacing w:line="264" w:lineRule="auto"/>
              <w:jc w:val="center"/>
              <w:rPr>
                <w:rFonts w:ascii="Calibri" w:hAnsi="Calibri" w:cs="Calibri" w:eastAsiaTheme="minorHAnsi"/>
                <w:b/>
                <w:bCs/>
                <w:color w:val="0071BC"/>
                <w:sz w:val="28"/>
                <w:szCs w:val="28"/>
                <w:u w:val="single"/>
              </w:rPr>
            </w:pPr>
            <w:r>
              <w:rPr>
                <w:rFonts w:ascii="Calibri" w:hAnsi="Calibri" w:cs="Calibri"/>
              </w:rPr>
              <w:drawing>
                <wp:inline distT="0" distB="0" distL="0" distR="0">
                  <wp:extent cx="1503680" cy="2159635"/>
                  <wp:effectExtent l="133350" t="114300" r="115570" b="145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503684" cy="21600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02" w:type="dxa"/>
            <w:vAlign w:val="center"/>
          </w:tcPr>
          <w:p>
            <w:pPr>
              <w:spacing w:line="264" w:lineRule="auto"/>
              <w:jc w:val="center"/>
              <w:rPr>
                <w:rFonts w:ascii="Calibri" w:hAnsi="Calibri" w:cs="Calibri" w:eastAsiaTheme="minorHAnsi"/>
                <w:b/>
                <w:bCs/>
                <w:color w:val="0071BC"/>
                <w:sz w:val="28"/>
                <w:szCs w:val="28"/>
                <w:u w:val="single"/>
              </w:rPr>
            </w:pPr>
            <w:r>
              <w:rPr>
                <w:rFonts w:ascii="Calibri" w:hAnsi="Calibri" w:cs="Calibri"/>
              </w:rPr>
              <w:drawing>
                <wp:inline distT="0" distB="0" distL="0" distR="0">
                  <wp:extent cx="1536065" cy="2159635"/>
                  <wp:effectExtent l="133350" t="114300" r="102235" b="145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536361" cy="21600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102" w:type="dxa"/>
            <w:gridSpan w:val="3"/>
          </w:tcPr>
          <w:p>
            <w:pPr>
              <w:spacing w:line="264" w:lineRule="auto"/>
              <w:jc w:val="center"/>
              <w:rPr>
                <w:rFonts w:ascii="Calibri" w:hAnsi="Calibri" w:cs="Calibri"/>
              </w:rPr>
            </w:pPr>
            <w:r>
              <w:rPr>
                <w:rFonts w:ascii="Calibri" w:hAnsi="Calibri" w:cs="Calibri"/>
                <w:b/>
                <w:bCs/>
                <w:color w:val="000000" w:themeColor="text1"/>
                <w:sz w:val="23"/>
                <w:szCs w:val="23"/>
                <w14:textFill>
                  <w14:solidFill>
                    <w14:schemeClr w14:val="tx1"/>
                  </w14:solidFill>
                </w14:textFill>
              </w:rPr>
              <w:t>结业证书</w:t>
            </w:r>
          </w:p>
        </w:tc>
        <w:tc>
          <w:tcPr>
            <w:tcW w:w="5102" w:type="dxa"/>
          </w:tcPr>
          <w:p>
            <w:pPr>
              <w:spacing w:line="264" w:lineRule="auto"/>
              <w:jc w:val="center"/>
              <w:rPr>
                <w:rFonts w:ascii="Calibri" w:hAnsi="Calibri" w:cs="Calibri"/>
              </w:rPr>
            </w:pPr>
            <w:r>
              <w:rPr>
                <w:rFonts w:ascii="Calibri" w:hAnsi="Calibri" w:cs="Calibri"/>
                <w:b/>
                <w:bCs/>
                <w:color w:val="000000" w:themeColor="text1"/>
                <w:sz w:val="23"/>
                <w:szCs w:val="23"/>
                <w14:textFill>
                  <w14:solidFill>
                    <w14:schemeClr w14:val="tx1"/>
                  </w14:solidFill>
                </w14:textFill>
              </w:rPr>
              <w:t>成绩评定报告</w:t>
            </w:r>
          </w:p>
        </w:tc>
      </w:tr>
      <w:bookmarkEnd w:id="3"/>
    </w:tbl>
    <w:p>
      <w:pPr>
        <w:widowControl/>
        <w:jc w:val="left"/>
        <w:rPr>
          <w:rFonts w:ascii="Calibri" w:hAnsi="Calibri" w:cs="Calibri"/>
        </w:rPr>
      </w:pPr>
      <w:bookmarkStart w:id="4" w:name="_Hlk44773038"/>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751"/>
        <w:gridCol w:w="1686"/>
        <w:gridCol w:w="78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743" w:type="dxa"/>
            <w:tcBorders>
              <w:bottom w:val="single" w:color="0071BC" w:sz="12" w:space="0"/>
            </w:tcBorders>
            <w:shd w:val="clear" w:color="auto" w:fill="0071BC"/>
            <w:tcMar>
              <w:top w:w="0" w:type="dxa"/>
              <w:bottom w:w="0" w:type="dxa"/>
            </w:tcMar>
            <w:vAlign w:val="center"/>
          </w:tcPr>
          <w:p>
            <w:pP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eastAsiaTheme="minorHAnsi"/>
                <w:b/>
                <w:bCs/>
                <w:color w:val="FFFFFF" w:themeColor="background1"/>
                <w:sz w:val="32"/>
                <w:szCs w:val="32"/>
                <w14:textFill>
                  <w14:solidFill>
                    <w14:schemeClr w14:val="bg1"/>
                  </w14:solidFill>
                </w14:textFill>
              </w:rPr>
              <w:drawing>
                <wp:inline distT="0" distB="0" distL="0" distR="0">
                  <wp:extent cx="287655" cy="287655"/>
                  <wp:effectExtent l="0" t="0" r="0" b="0"/>
                  <wp:docPr id="3" name="图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形 3"/>
                          <pic:cNvPicPr>
                            <a:picLocks noChangeAspect="1"/>
                          </pic:cNvPicPr>
                        </pic:nvPicPr>
                        <pic:blipFill>
                          <a:blip r:embed="rId19" cstate="print">
                            <a:extLst>
                              <a:ext uri="{96DAC541-7B7A-43D3-8B79-37D633B846F1}">
                                <asvg:svgBlip xmlns:asvg="http://schemas.microsoft.com/office/drawing/2016/SVG/main" r:embed="rId16"/>
                              </a:ext>
                            </a:extLst>
                          </a:blip>
                          <a:stretch>
                            <a:fillRect/>
                          </a:stretch>
                        </pic:blipFill>
                        <pic:spPr>
                          <a:xfrm>
                            <a:off x="0" y="0"/>
                            <a:ext cx="288000" cy="288000"/>
                          </a:xfrm>
                          <a:prstGeom prst="rect">
                            <a:avLst/>
                          </a:prstGeom>
                        </pic:spPr>
                      </pic:pic>
                    </a:graphicData>
                  </a:graphic>
                </wp:inline>
              </w:drawing>
            </w:r>
          </w:p>
        </w:tc>
        <w:tc>
          <w:tcPr>
            <w:tcW w:w="1667" w:type="dxa"/>
            <w:tcBorders>
              <w:bottom w:val="single" w:color="0071BC" w:sz="12" w:space="0"/>
            </w:tcBorders>
            <w:shd w:val="clear" w:color="auto" w:fill="0071BC"/>
            <w:tcMar>
              <w:top w:w="0" w:type="dxa"/>
              <w:bottom w:w="0" w:type="dxa"/>
            </w:tcMar>
            <w:vAlign w:val="center"/>
          </w:tcPr>
          <w:p>
            <w:pP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eastAsiaTheme="minorHAnsi"/>
                <w:b/>
                <w:bCs/>
                <w:color w:val="FFFFFF"/>
                <w:sz w:val="32"/>
                <w:szCs w:val="32"/>
              </w:rPr>
              <w:t>师资介绍</w:t>
            </w:r>
          </w:p>
        </w:tc>
        <w:tc>
          <w:tcPr>
            <w:tcW w:w="7794" w:type="dxa"/>
            <w:tcBorders>
              <w:bottom w:val="single" w:color="0071BC" w:sz="12" w:space="0"/>
            </w:tcBorders>
            <w:tcMar>
              <w:top w:w="0" w:type="dxa"/>
              <w:bottom w:w="0" w:type="dxa"/>
            </w:tcMar>
          </w:tcPr>
          <w:p>
            <w:pPr>
              <w:rPr>
                <w:rFonts w:ascii="Calibri" w:hAnsi="Calibri" w:cs="Calibri"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shd w:val="clear" w:color="auto" w:fill="auto"/>
          </w:tcPr>
          <w:p>
            <w:pPr>
              <w:spacing w:line="180" w:lineRule="exact"/>
              <w:rPr>
                <w:rFonts w:ascii="Calibri" w:hAnsi="Calibri" w:cs="Calibri" w:eastAsiaTheme="minorHAnsi"/>
                <w:b/>
                <w:bCs/>
                <w:color w:val="0071BC"/>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shd w:val="clear" w:color="auto" w:fill="auto"/>
          </w:tcPr>
          <w:p>
            <w:pPr>
              <w:spacing w:line="288" w:lineRule="auto"/>
              <w:jc w:val="left"/>
              <w:rPr>
                <w:rFonts w:ascii="Calibri" w:hAnsi="Calibri" w:cs="Calibri"/>
                <w:b/>
                <w:color w:val="0071BC"/>
                <w:sz w:val="23"/>
                <w:szCs w:val="23"/>
              </w:rPr>
            </w:pPr>
            <w:r>
              <w:rPr>
                <w:rFonts w:ascii="Calibri" w:hAnsi="Calibri" w:cs="Calibri"/>
                <w:b/>
                <w:color w:val="0071BC"/>
                <w:sz w:val="23"/>
                <w:szCs w:val="23"/>
              </w:rPr>
              <w:t>拉姆博士</w:t>
            </w:r>
          </w:p>
          <w:p>
            <w:pPr>
              <w:spacing w:line="288" w:lineRule="auto"/>
              <w:jc w:val="left"/>
              <w:rPr>
                <w:rFonts w:ascii="Calibri" w:hAnsi="Calibri" w:cs="Calibri"/>
                <w:b/>
                <w:color w:val="0071BC"/>
                <w:sz w:val="23"/>
                <w:szCs w:val="23"/>
              </w:rPr>
            </w:pPr>
            <w:r>
              <w:rPr>
                <w:rFonts w:ascii="Calibri" w:hAnsi="Calibri" w:cs="Calibri"/>
                <w:b/>
                <w:color w:val="0071BC"/>
                <w:sz w:val="23"/>
                <w:szCs w:val="23"/>
              </w:rPr>
              <w:t>剑桥环境经济学和公共政策讲师</w:t>
            </w:r>
          </w:p>
          <w:p>
            <w:pPr>
              <w:spacing w:line="288" w:lineRule="auto"/>
              <w:rPr>
                <w:rFonts w:ascii="Calibri" w:hAnsi="Calibri" w:cs="Calibri"/>
                <w:b/>
                <w:bCs/>
                <w:color w:val="0071BC"/>
                <w:sz w:val="23"/>
                <w:szCs w:val="23"/>
              </w:rPr>
            </w:pPr>
            <w:r>
              <w:rPr>
                <w:rFonts w:ascii="Calibri" w:hAnsi="Calibri" w:cs="Calibri"/>
                <w:sz w:val="23"/>
                <w:szCs w:val="23"/>
              </w:rPr>
              <w:t>他教授经济学，环境经济学以及法律与经济学。他的研究集中于环境经济学，法律和经济学，以及人们如何从冲击中学习。 拉姆博士在诸多顶级期刊发表过文章，包括《经济学季刊》、《法律研究杂志》和《自然气候变化》。拉姆博士的职业生涯开始于澳大利亚财政部，那时他是一名经济学家并且在多个政策领域任职，其中包括气候变化、税收政策、卫生政策以及水和自然资源管理等领域。他于2012年在伦敦大学学院法律与经济学中心完成了博士学位，博士期间的论文调查并研究了巴布亚新几内亚的法律多元化的法律与经济学。在此之前，他还获得了墨尔本大学和剑桥大学的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shd w:val="clear" w:color="auto" w:fill="auto"/>
          </w:tcPr>
          <w:p>
            <w:pPr>
              <w:spacing w:line="288" w:lineRule="auto"/>
              <w:jc w:val="left"/>
              <w:rPr>
                <w:rFonts w:ascii="Calibri" w:hAnsi="Calibri" w:cs="Calibri"/>
                <w:b/>
                <w:color w:val="0071BC"/>
                <w:sz w:val="23"/>
                <w:szCs w:val="23"/>
              </w:rPr>
            </w:pPr>
            <w:r>
              <w:rPr>
                <w:rFonts w:ascii="Calibri" w:hAnsi="Calibri" w:cs="Calibri"/>
                <w:b/>
                <w:color w:val="0071BC"/>
                <w:sz w:val="23"/>
                <w:szCs w:val="23"/>
              </w:rPr>
              <w:t>莱昂内尔博士</w:t>
            </w:r>
          </w:p>
          <w:p>
            <w:pPr>
              <w:spacing w:line="288" w:lineRule="auto"/>
              <w:jc w:val="left"/>
              <w:rPr>
                <w:rFonts w:ascii="Calibri" w:hAnsi="Calibri" w:cs="Calibri"/>
                <w:b/>
                <w:color w:val="0071BC"/>
                <w:sz w:val="23"/>
                <w:szCs w:val="23"/>
              </w:rPr>
            </w:pPr>
            <w:r>
              <w:rPr>
                <w:rFonts w:ascii="Calibri" w:hAnsi="Calibri" w:cs="Calibri"/>
                <w:b/>
                <w:color w:val="0071BC"/>
                <w:sz w:val="23"/>
                <w:szCs w:val="23"/>
              </w:rPr>
              <w:t>剑桥Judge商学院讲师</w:t>
            </w:r>
          </w:p>
          <w:p>
            <w:pPr>
              <w:spacing w:line="288" w:lineRule="auto"/>
              <w:jc w:val="left"/>
              <w:rPr>
                <w:rFonts w:ascii="Calibri" w:hAnsi="Calibri" w:cs="Calibri"/>
                <w:b/>
                <w:color w:val="0071BC"/>
                <w:sz w:val="23"/>
                <w:szCs w:val="23"/>
              </w:rPr>
            </w:pPr>
            <w:r>
              <w:rPr>
                <w:rFonts w:ascii="Calibri" w:hAnsi="Calibri" w:cs="Calibri"/>
                <w:b/>
                <w:color w:val="0071BC"/>
                <w:sz w:val="23"/>
                <w:szCs w:val="23"/>
              </w:rPr>
              <w:t>哈佛法学院（法律职业中心）成员</w:t>
            </w:r>
          </w:p>
          <w:p>
            <w:pPr>
              <w:spacing w:line="288" w:lineRule="auto"/>
              <w:rPr>
                <w:rFonts w:ascii="Calibri" w:hAnsi="Calibri" w:cs="Calibri"/>
                <w:sz w:val="23"/>
                <w:szCs w:val="23"/>
              </w:rPr>
            </w:pPr>
            <w:r>
              <w:rPr>
                <w:rFonts w:ascii="Calibri" w:hAnsi="Calibri" w:cs="Calibri"/>
                <w:sz w:val="23"/>
                <w:szCs w:val="23"/>
              </w:rPr>
              <w:t>他毕业于法国巴黎高等师范学院（ENS），然后在法国巴黎高等师范学院（EHESS）取得了社会学硕士学位，获得管理和组织科学硕士学位（巴黎第十大学），并获得战略博士学位（巴黎HEC）。</w:t>
            </w:r>
          </w:p>
          <w:p>
            <w:pPr>
              <w:spacing w:line="288" w:lineRule="auto"/>
              <w:rPr>
                <w:rFonts w:ascii="Calibri" w:hAnsi="Calibri" w:cs="Calibri"/>
                <w:sz w:val="23"/>
                <w:szCs w:val="23"/>
              </w:rPr>
            </w:pPr>
            <w:r>
              <w:rPr>
                <w:rFonts w:ascii="Calibri" w:hAnsi="Calibri" w:cs="Calibri"/>
                <w:sz w:val="23"/>
                <w:szCs w:val="23"/>
              </w:rPr>
              <w:t>莱昂内尔博士主要研究领域是探讨市场类别（一组具有认知和文化相似性的公司）如何影响组织的社会评价和绩效，特别是在国际法律服务市场和伊斯兰银行业中。他目前在MBA课程中教授核心战略课程，并且他还参与了有关专业服务公司和战略课程的高级管理人员课程。</w:t>
            </w:r>
          </w:p>
          <w:p>
            <w:pPr>
              <w:spacing w:line="288" w:lineRule="auto"/>
              <w:rPr>
                <w:rFonts w:ascii="Calibri" w:hAnsi="Calibri" w:cs="Calibri"/>
                <w:b/>
                <w:bCs/>
                <w:color w:val="0071BC"/>
                <w:sz w:val="23"/>
                <w:szCs w:val="23"/>
              </w:rPr>
            </w:pPr>
            <w:r>
              <w:rPr>
                <w:rFonts w:ascii="Calibri" w:hAnsi="Calibri" w:cs="Calibri"/>
                <w:sz w:val="23"/>
                <w:szCs w:val="23"/>
              </w:rPr>
              <w:t>他于2017年获得了剑桥商学院教学奖，并获得了2018年MBA学院奖（由学生投票），他在2019年被</w:t>
            </w:r>
            <w:r>
              <w:rPr>
                <w:rFonts w:ascii="Calibri" w:hAnsi="Calibri" w:cs="Calibri"/>
                <w:i/>
                <w:iCs/>
                <w:sz w:val="23"/>
                <w:szCs w:val="23"/>
              </w:rPr>
              <w:t>Poets and Quants</w:t>
            </w:r>
            <w:r>
              <w:rPr>
                <w:rFonts w:ascii="Calibri" w:hAnsi="Calibri" w:cs="Calibri"/>
                <w:sz w:val="23"/>
                <w:szCs w:val="23"/>
              </w:rPr>
              <w:t>评为40位40岁以下最佳教授之一。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shd w:val="clear" w:color="auto" w:fill="auto"/>
          </w:tcPr>
          <w:p>
            <w:pPr>
              <w:spacing w:line="288" w:lineRule="auto"/>
              <w:jc w:val="left"/>
              <w:rPr>
                <w:rFonts w:ascii="Calibri" w:hAnsi="Calibri" w:cs="Calibri"/>
                <w:b/>
                <w:color w:val="0071BC"/>
                <w:sz w:val="23"/>
                <w:szCs w:val="23"/>
              </w:rPr>
            </w:pPr>
            <w:r>
              <w:rPr>
                <w:rFonts w:ascii="Calibri" w:hAnsi="Calibri" w:cs="Calibri"/>
                <w:b/>
                <w:color w:val="0071BC"/>
                <w:sz w:val="23"/>
                <w:szCs w:val="23"/>
              </w:rPr>
              <w:t>德维利博士</w:t>
            </w:r>
          </w:p>
          <w:p>
            <w:pPr>
              <w:spacing w:line="288" w:lineRule="auto"/>
              <w:jc w:val="left"/>
              <w:rPr>
                <w:rFonts w:ascii="Calibri" w:hAnsi="Calibri" w:cs="Calibri"/>
                <w:b/>
                <w:color w:val="0071BC"/>
                <w:sz w:val="23"/>
                <w:szCs w:val="23"/>
              </w:rPr>
            </w:pPr>
            <w:r>
              <w:rPr>
                <w:rFonts w:ascii="Calibri" w:hAnsi="Calibri" w:cs="Calibri"/>
                <w:b/>
                <w:color w:val="0071BC"/>
                <w:sz w:val="23"/>
                <w:szCs w:val="23"/>
              </w:rPr>
              <w:t>剑桥历史学院讲师</w:t>
            </w:r>
          </w:p>
          <w:p>
            <w:pPr>
              <w:spacing w:line="288" w:lineRule="auto"/>
              <w:rPr>
                <w:rFonts w:ascii="Calibri" w:hAnsi="Calibri" w:cs="Calibri"/>
                <w:b/>
                <w:bCs/>
                <w:color w:val="0071BC"/>
                <w:sz w:val="23"/>
                <w:szCs w:val="23"/>
              </w:rPr>
            </w:pPr>
            <w:r>
              <w:rPr>
                <w:rFonts w:ascii="Calibri" w:hAnsi="Calibri" w:cs="Calibri"/>
                <w:sz w:val="23"/>
                <w:szCs w:val="23"/>
              </w:rPr>
              <w:t>他曾就读于都柏林大学学院，都柏林三一学院，和剑桥大学。他是近代和近代英国历史的历史学家，对国际关系，文化交流和宗教文化特别感兴趣。他的授课内容包括早期的现代英国和爱尔兰、现代爱尔兰、早期的现代英国和欧洲政治、文化、社会课程和经济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shd w:val="clear" w:color="auto" w:fill="auto"/>
          </w:tcPr>
          <w:p>
            <w:pPr>
              <w:spacing w:line="288" w:lineRule="auto"/>
              <w:rPr>
                <w:rFonts w:ascii="Calibri" w:hAnsi="Calibri" w:cs="Calibri"/>
                <w:b/>
                <w:bCs/>
                <w:color w:val="0071BC"/>
                <w:sz w:val="23"/>
                <w:szCs w:val="23"/>
              </w:rPr>
            </w:pPr>
            <w:r>
              <w:rPr>
                <w:rFonts w:ascii="Calibri" w:hAnsi="Calibri" w:cs="Calibri"/>
                <w:b/>
                <w:bCs/>
                <w:color w:val="0071BC"/>
                <w:sz w:val="23"/>
                <w:szCs w:val="23"/>
              </w:rPr>
              <w:t>迈克尔教授</w:t>
            </w:r>
          </w:p>
          <w:p>
            <w:pPr>
              <w:pStyle w:val="11"/>
              <w:numPr>
                <w:ilvl w:val="0"/>
                <w:numId w:val="1"/>
              </w:numPr>
              <w:spacing w:line="288" w:lineRule="auto"/>
              <w:ind w:firstLineChars="0"/>
              <w:rPr>
                <w:rFonts w:ascii="Calibri" w:hAnsi="Calibri" w:cs="Calibri"/>
                <w:sz w:val="23"/>
                <w:szCs w:val="23"/>
              </w:rPr>
            </w:pPr>
            <w:r>
              <w:rPr>
                <w:rFonts w:ascii="Calibri" w:hAnsi="Calibri" w:cs="Calibri"/>
                <w:sz w:val="23"/>
                <w:szCs w:val="23"/>
              </w:rPr>
              <w:t>剑桥大学圣埃德蒙学院客座院士</w:t>
            </w:r>
          </w:p>
          <w:p>
            <w:pPr>
              <w:pStyle w:val="11"/>
              <w:numPr>
                <w:ilvl w:val="0"/>
                <w:numId w:val="1"/>
              </w:numPr>
              <w:spacing w:line="288" w:lineRule="auto"/>
              <w:ind w:firstLineChars="0"/>
              <w:rPr>
                <w:rFonts w:ascii="Calibri" w:hAnsi="Calibri" w:cs="Calibri"/>
                <w:sz w:val="23"/>
                <w:szCs w:val="23"/>
              </w:rPr>
            </w:pPr>
            <w:r>
              <w:rPr>
                <w:rFonts w:ascii="Calibri" w:hAnsi="Calibri" w:cs="Calibri"/>
                <w:sz w:val="23"/>
                <w:szCs w:val="23"/>
              </w:rPr>
              <w:t>专业领域：宪法、比较权利与政治理论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shd w:val="clear" w:color="auto" w:fill="auto"/>
          </w:tcPr>
          <w:p>
            <w:pPr>
              <w:spacing w:line="288" w:lineRule="auto"/>
              <w:rPr>
                <w:rFonts w:ascii="Calibri" w:hAnsi="Calibri" w:cs="Calibri"/>
                <w:b/>
                <w:bCs/>
                <w:color w:val="0071BC"/>
                <w:sz w:val="23"/>
                <w:szCs w:val="23"/>
              </w:rPr>
            </w:pPr>
            <w:r>
              <w:rPr>
                <w:rFonts w:ascii="Calibri" w:hAnsi="Calibri" w:cs="Calibri"/>
                <w:b/>
                <w:bCs/>
                <w:color w:val="0071BC"/>
                <w:sz w:val="23"/>
                <w:szCs w:val="23"/>
              </w:rPr>
              <w:t>凯瑟琳博士</w:t>
            </w:r>
          </w:p>
          <w:p>
            <w:pPr>
              <w:pStyle w:val="11"/>
              <w:numPr>
                <w:ilvl w:val="0"/>
                <w:numId w:val="2"/>
              </w:numPr>
              <w:spacing w:line="288" w:lineRule="auto"/>
              <w:ind w:firstLineChars="0"/>
              <w:rPr>
                <w:rFonts w:ascii="Calibri" w:hAnsi="Calibri" w:cs="Calibri"/>
                <w:sz w:val="23"/>
                <w:szCs w:val="23"/>
              </w:rPr>
            </w:pPr>
            <w:r>
              <w:rPr>
                <w:rFonts w:ascii="Calibri" w:hAnsi="Calibri" w:cs="Calibri"/>
                <w:sz w:val="23"/>
                <w:szCs w:val="23"/>
              </w:rPr>
              <w:t>剑桥大学土地经济研究主任</w:t>
            </w:r>
          </w:p>
          <w:p>
            <w:pPr>
              <w:pStyle w:val="11"/>
              <w:numPr>
                <w:ilvl w:val="0"/>
                <w:numId w:val="2"/>
              </w:numPr>
              <w:spacing w:line="288" w:lineRule="auto"/>
              <w:ind w:firstLineChars="0"/>
              <w:rPr>
                <w:rFonts w:ascii="Calibri" w:hAnsi="Calibri" w:cs="Calibri"/>
                <w:sz w:val="23"/>
                <w:szCs w:val="23"/>
              </w:rPr>
            </w:pPr>
            <w:r>
              <w:rPr>
                <w:rFonts w:ascii="Calibri" w:hAnsi="Calibri" w:cs="Calibri"/>
                <w:sz w:val="23"/>
                <w:szCs w:val="23"/>
              </w:rPr>
              <w:t>剑桥大学克莱尔学堂法律研究主任</w:t>
            </w:r>
          </w:p>
          <w:p>
            <w:pPr>
              <w:pStyle w:val="11"/>
              <w:numPr>
                <w:ilvl w:val="0"/>
                <w:numId w:val="2"/>
              </w:numPr>
              <w:spacing w:line="288" w:lineRule="auto"/>
              <w:ind w:firstLineChars="0"/>
              <w:rPr>
                <w:rFonts w:ascii="Calibri" w:hAnsi="Calibri" w:cs="Calibri"/>
                <w:sz w:val="23"/>
                <w:szCs w:val="23"/>
              </w:rPr>
            </w:pPr>
            <w:r>
              <w:rPr>
                <w:rFonts w:ascii="Calibri" w:hAnsi="Calibri" w:cs="Calibri"/>
                <w:sz w:val="23"/>
                <w:szCs w:val="23"/>
              </w:rPr>
              <w:t>牛津大学格林坦普顿学院学位主任、客座研究员</w:t>
            </w:r>
          </w:p>
          <w:p>
            <w:pPr>
              <w:pStyle w:val="11"/>
              <w:numPr>
                <w:ilvl w:val="0"/>
                <w:numId w:val="2"/>
              </w:numPr>
              <w:spacing w:line="288" w:lineRule="auto"/>
              <w:ind w:firstLineChars="0"/>
              <w:rPr>
                <w:rFonts w:ascii="Calibri" w:hAnsi="Calibri" w:cs="Calibri"/>
                <w:sz w:val="23"/>
                <w:szCs w:val="23"/>
              </w:rPr>
            </w:pPr>
            <w:r>
              <w:rPr>
                <w:rFonts w:ascii="Calibri" w:hAnsi="Calibri" w:cs="Calibri"/>
                <w:sz w:val="23"/>
                <w:szCs w:val="23"/>
              </w:rPr>
              <w:t>剑桥大学可持续发展领导力硕士和牛津大学外交研究硕士考试委员会主席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shd w:val="clear" w:color="auto" w:fill="auto"/>
          </w:tcPr>
          <w:p>
            <w:pPr>
              <w:spacing w:line="288" w:lineRule="auto"/>
              <w:rPr>
                <w:rFonts w:ascii="Calibri" w:hAnsi="Calibri" w:cs="Calibri"/>
                <w:b/>
                <w:bCs/>
                <w:color w:val="0071BC"/>
                <w:sz w:val="23"/>
                <w:szCs w:val="23"/>
              </w:rPr>
            </w:pPr>
            <w:r>
              <w:rPr>
                <w:rFonts w:ascii="Calibri" w:hAnsi="Calibri" w:cs="Calibri"/>
                <w:b/>
                <w:bCs/>
                <w:color w:val="0071BC"/>
                <w:sz w:val="23"/>
                <w:szCs w:val="23"/>
              </w:rPr>
              <w:t>西奥博士</w:t>
            </w:r>
          </w:p>
          <w:p>
            <w:pPr>
              <w:pStyle w:val="11"/>
              <w:numPr>
                <w:ilvl w:val="0"/>
                <w:numId w:val="3"/>
              </w:numPr>
              <w:spacing w:line="288" w:lineRule="auto"/>
              <w:ind w:firstLineChars="0"/>
              <w:rPr>
                <w:rFonts w:ascii="Calibri" w:hAnsi="Calibri" w:cs="Calibri"/>
                <w:sz w:val="23"/>
                <w:szCs w:val="23"/>
              </w:rPr>
            </w:pPr>
            <w:r>
              <w:rPr>
                <w:rFonts w:ascii="Calibri" w:hAnsi="Calibri" w:cs="Calibri"/>
                <w:sz w:val="23"/>
                <w:szCs w:val="23"/>
              </w:rPr>
              <w:t>剑桥大学可持续发展领导力研究所（CISL）研究生课程和研究策略主任</w:t>
            </w:r>
          </w:p>
          <w:p>
            <w:pPr>
              <w:pStyle w:val="11"/>
              <w:numPr>
                <w:ilvl w:val="0"/>
                <w:numId w:val="3"/>
              </w:numPr>
              <w:spacing w:line="288" w:lineRule="auto"/>
              <w:ind w:firstLineChars="0"/>
              <w:rPr>
                <w:rFonts w:ascii="Calibri" w:hAnsi="Calibri" w:cs="Calibri"/>
                <w:sz w:val="23"/>
                <w:szCs w:val="23"/>
              </w:rPr>
            </w:pPr>
            <w:r>
              <w:rPr>
                <w:rFonts w:ascii="Calibri" w:hAnsi="Calibri" w:cs="Calibri"/>
                <w:sz w:val="23"/>
                <w:szCs w:val="23"/>
              </w:rPr>
              <w:t>剑桥大学可持续发展领导力研究所（CISL）研究催化剂与威尔斯亲王全球可持续发展奖学金计划参与者。</w:t>
            </w:r>
          </w:p>
          <w:p>
            <w:pPr>
              <w:pStyle w:val="11"/>
              <w:numPr>
                <w:ilvl w:val="0"/>
                <w:numId w:val="3"/>
              </w:numPr>
              <w:spacing w:line="288" w:lineRule="auto"/>
              <w:ind w:firstLineChars="0"/>
              <w:rPr>
                <w:rFonts w:ascii="Calibri" w:hAnsi="Calibri" w:cs="Calibri"/>
                <w:sz w:val="23"/>
                <w:szCs w:val="23"/>
              </w:rPr>
            </w:pPr>
            <w:r>
              <w:rPr>
                <w:rFonts w:ascii="Calibri" w:hAnsi="Calibri" w:cs="Calibri"/>
                <w:sz w:val="23"/>
                <w:szCs w:val="23"/>
              </w:rPr>
              <w:t>哈默顿学院工程系院士及主任。</w:t>
            </w:r>
          </w:p>
        </w:tc>
      </w:tr>
    </w:tbl>
    <w:p>
      <w:pPr>
        <w:widowControl/>
        <w:spacing w:line="288" w:lineRule="auto"/>
        <w:jc w:val="left"/>
        <w:rPr>
          <w:rFonts w:ascii="Calibri" w:hAnsi="Calibri" w:cs="Calibri"/>
          <w:bCs/>
          <w:sz w:val="20"/>
          <w:szCs w:val="20"/>
        </w:rPr>
      </w:pPr>
      <w:r>
        <w:rPr>
          <w:rFonts w:ascii="Calibri" w:hAnsi="Calibri" w:cs="Calibri"/>
          <w:bCs/>
          <w:sz w:val="20"/>
          <w:szCs w:val="20"/>
        </w:rPr>
        <w:t>注：以上师资为往期师资，实际授课将根据教师时间安排有所调整。</w:t>
      </w:r>
    </w:p>
    <w:p>
      <w:pPr>
        <w:widowControl/>
        <w:spacing w:line="288" w:lineRule="auto"/>
        <w:jc w:val="left"/>
        <w:rPr>
          <w:rFonts w:ascii="Calibri" w:hAnsi="Calibri" w:cs="Calibri"/>
        </w:rPr>
      </w:pP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725"/>
        <w:gridCol w:w="1530"/>
        <w:gridCol w:w="80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717" w:type="dxa"/>
            <w:tcBorders>
              <w:top w:val="nil"/>
              <w:left w:val="nil"/>
              <w:bottom w:val="single" w:color="0071BC" w:sz="12" w:space="0"/>
              <w:right w:val="nil"/>
            </w:tcBorders>
            <w:shd w:val="clear" w:color="auto" w:fill="0071BC"/>
            <w:tcMar>
              <w:top w:w="0" w:type="dxa"/>
              <w:left w:w="57" w:type="dxa"/>
              <w:bottom w:w="0" w:type="dxa"/>
              <w:right w:w="57" w:type="dxa"/>
            </w:tcMar>
            <w:vAlign w:val="center"/>
          </w:tcPr>
          <w:p>
            <w:pPr>
              <w:spacing w:line="288" w:lineRule="auto"/>
              <w:rPr>
                <w:rFonts w:ascii="Calibri" w:hAnsi="Calibri" w:cs="Calibri"/>
                <w:szCs w:val="21"/>
              </w:rPr>
            </w:pPr>
            <w:r>
              <w:rPr>
                <w:rFonts w:ascii="Calibri" w:hAnsi="Calibri" w:cs="Calibri"/>
                <w:szCs w:val="21"/>
              </w:rPr>
              <w:drawing>
                <wp:inline distT="0" distB="0" distL="0" distR="0">
                  <wp:extent cx="285750" cy="285750"/>
                  <wp:effectExtent l="0" t="0" r="0" b="0"/>
                  <wp:docPr id="19" name="图形 8"/>
                  <wp:cNvGraphicFramePr/>
                  <a:graphic xmlns:a="http://schemas.openxmlformats.org/drawingml/2006/main">
                    <a:graphicData uri="http://schemas.openxmlformats.org/drawingml/2006/picture">
                      <pic:pic xmlns:pic="http://schemas.openxmlformats.org/drawingml/2006/picture">
                        <pic:nvPicPr>
                          <pic:cNvPr id="19" name="图形 8"/>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7655" cy="287655"/>
                          </a:xfrm>
                          <a:prstGeom prst="rect">
                            <a:avLst/>
                          </a:prstGeom>
                        </pic:spPr>
                      </pic:pic>
                    </a:graphicData>
                  </a:graphic>
                </wp:inline>
              </w:drawing>
            </w:r>
          </w:p>
        </w:tc>
        <w:tc>
          <w:tcPr>
            <w:tcW w:w="1513" w:type="dxa"/>
            <w:tcBorders>
              <w:top w:val="nil"/>
              <w:left w:val="nil"/>
              <w:bottom w:val="single" w:color="0071BC" w:sz="12" w:space="0"/>
              <w:right w:val="nil"/>
            </w:tcBorders>
            <w:shd w:val="clear" w:color="auto" w:fill="0071BC"/>
            <w:tcMar>
              <w:top w:w="0" w:type="dxa"/>
              <w:left w:w="57" w:type="dxa"/>
              <w:bottom w:w="0" w:type="dxa"/>
              <w:right w:w="57" w:type="dxa"/>
            </w:tcMar>
            <w:vAlign w:val="center"/>
          </w:tcPr>
          <w:p>
            <w:pPr>
              <w:spacing w:line="288" w:lineRule="auto"/>
              <w:rPr>
                <w:rFonts w:ascii="Calibri" w:hAnsi="Calibri" w:cs="Calibri"/>
                <w:szCs w:val="21"/>
              </w:rPr>
            </w:pPr>
            <w:r>
              <w:rPr>
                <w:rFonts w:ascii="Calibri" w:hAnsi="Calibri" w:cs="Calibri"/>
                <w:b/>
                <w:bCs/>
                <w:color w:val="FFFFFF"/>
                <w:sz w:val="32"/>
                <w:szCs w:val="32"/>
              </w:rPr>
              <w:t>学员感想</w:t>
            </w:r>
          </w:p>
        </w:tc>
        <w:tc>
          <w:tcPr>
            <w:tcW w:w="7974" w:type="dxa"/>
            <w:tcBorders>
              <w:top w:val="nil"/>
              <w:left w:val="nil"/>
              <w:bottom w:val="single" w:color="0071BC" w:sz="12" w:space="0"/>
              <w:right w:val="nil"/>
            </w:tcBorders>
            <w:tcMar>
              <w:top w:w="0" w:type="dxa"/>
              <w:left w:w="57" w:type="dxa"/>
              <w:bottom w:w="0" w:type="dxa"/>
              <w:right w:w="57" w:type="dxa"/>
            </w:tcMar>
          </w:tcPr>
          <w:p>
            <w:pPr>
              <w:spacing w:line="288" w:lineRule="auto"/>
              <w:rPr>
                <w:rFonts w:ascii="Calibri" w:hAnsi="Calibri" w:cs="Calibr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Borders>
              <w:top w:val="single" w:color="0071BC" w:sz="12" w:space="0"/>
              <w:left w:val="nil"/>
              <w:bottom w:val="nil"/>
              <w:right w:val="nil"/>
            </w:tcBorders>
            <w:tcMar>
              <w:top w:w="0" w:type="dxa"/>
              <w:left w:w="0" w:type="dxa"/>
              <w:bottom w:w="0" w:type="dxa"/>
              <w:right w:w="0" w:type="dxa"/>
            </w:tcMar>
          </w:tcPr>
          <w:p>
            <w:pPr>
              <w:spacing w:line="288" w:lineRule="auto"/>
              <w:rPr>
                <w:rFonts w:ascii="Calibri" w:hAnsi="Calibri" w:cs="Calibr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spacing w:line="288" w:lineRule="auto"/>
              <w:rPr>
                <w:rFonts w:ascii="Calibri" w:hAnsi="Calibri" w:cs="Calibri"/>
                <w:sz w:val="23"/>
                <w:szCs w:val="23"/>
              </w:rPr>
            </w:pPr>
            <w:r>
              <w:rPr>
                <w:rFonts w:ascii="Calibri" w:hAnsi="Calibri" w:cs="Calibri"/>
                <w:sz w:val="23"/>
                <w:szCs w:val="23"/>
              </w:rPr>
              <w:t>I learned so much from my international peers and lecturers that I never would have learned in a traditional economics course. Would highly recommend to those that hope to learn about economics in an international light.</w:t>
            </w:r>
          </w:p>
          <w:p>
            <w:pPr>
              <w:spacing w:line="288" w:lineRule="auto"/>
              <w:rPr>
                <w:rFonts w:ascii="Calibri" w:hAnsi="Calibri" w:cs="Calibri"/>
                <w:sz w:val="23"/>
                <w:szCs w:val="23"/>
              </w:rPr>
            </w:pPr>
            <w:r>
              <w:rPr>
                <w:rFonts w:ascii="Calibri" w:hAnsi="Calibri" w:cs="Calibri"/>
                <w:sz w:val="23"/>
                <w:szCs w:val="23"/>
              </w:rPr>
              <w:t>我从各位同学和讲师那里学到了很多我在传统经济学课程中学不到的东西。我强烈推荐那些希望从国际角度学习经济学的同学参与。</w:t>
            </w:r>
          </w:p>
          <w:p>
            <w:pPr>
              <w:spacing w:line="288" w:lineRule="auto"/>
              <w:jc w:val="right"/>
              <w:rPr>
                <w:rFonts w:ascii="Calibri" w:hAnsi="Calibri" w:cs="Calibri"/>
                <w:sz w:val="23"/>
                <w:szCs w:val="23"/>
              </w:rPr>
            </w:pPr>
            <w:r>
              <w:rPr>
                <w:rFonts w:ascii="Calibri" w:hAnsi="Calibri" w:cs="Calibri"/>
                <w:b/>
                <w:color w:val="0071BC"/>
                <w:sz w:val="23"/>
                <w:szCs w:val="23"/>
              </w:rPr>
              <w:t>往期项目学员 Hailie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spacing w:line="288" w:lineRule="auto"/>
              <w:rPr>
                <w:rFonts w:ascii="Calibri" w:hAnsi="Calibri" w:cs="Calibri"/>
                <w:sz w:val="23"/>
                <w:szCs w:val="23"/>
              </w:rPr>
            </w:pPr>
            <w:r>
              <w:rPr>
                <w:rFonts w:ascii="Calibri" w:hAnsi="Calibri" w:cs="Calibri"/>
                <w:sz w:val="23"/>
                <w:szCs w:val="23"/>
              </w:rPr>
              <w:t>This summer was undoubtedly the best of my life and I would not have had it any other way. Thank you, Cambridge, for one month full of learning, love and fun!</w:t>
            </w:r>
          </w:p>
          <w:p>
            <w:pPr>
              <w:spacing w:line="288" w:lineRule="auto"/>
              <w:rPr>
                <w:rFonts w:ascii="Calibri" w:hAnsi="Calibri" w:cs="Calibri"/>
                <w:sz w:val="23"/>
                <w:szCs w:val="23"/>
              </w:rPr>
            </w:pPr>
            <w:r>
              <w:rPr>
                <w:rFonts w:ascii="Calibri" w:hAnsi="Calibri" w:cs="Calibri"/>
                <w:sz w:val="23"/>
                <w:szCs w:val="23"/>
              </w:rPr>
              <w:t>毫无疑问，这个夏天是我一生中最美好的时光，没有彼此更好的度过这段时光的方式。谢谢你，剑桥，这一个月充满了学习、爱和乐趣!</w:t>
            </w:r>
          </w:p>
          <w:p>
            <w:pPr>
              <w:spacing w:line="288" w:lineRule="auto"/>
              <w:jc w:val="right"/>
              <w:rPr>
                <w:rFonts w:ascii="Calibri" w:hAnsi="Calibri" w:cs="Calibri"/>
                <w:sz w:val="23"/>
                <w:szCs w:val="23"/>
              </w:rPr>
            </w:pPr>
            <w:r>
              <w:rPr>
                <w:rFonts w:ascii="Calibri" w:hAnsi="Calibri" w:cs="Calibri"/>
                <w:b/>
                <w:color w:val="0071BC"/>
                <w:sz w:val="23"/>
                <w:szCs w:val="23"/>
              </w:rPr>
              <w:t>往期项目学员 Madina</w:t>
            </w:r>
          </w:p>
        </w:tc>
      </w:tr>
    </w:tbl>
    <w:p>
      <w:pPr>
        <w:widowControl/>
        <w:jc w:val="left"/>
        <w:rPr>
          <w:rFonts w:ascii="Calibri" w:hAnsi="Calibri" w:cs="Calibri"/>
        </w:rPr>
      </w:pPr>
    </w:p>
    <w:p>
      <w:pPr>
        <w:widowControl/>
        <w:jc w:val="left"/>
        <w:rPr>
          <w:rFonts w:ascii="Calibri" w:hAnsi="Calibri" w:cs="Calibri"/>
        </w:rPr>
      </w:pP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0071BC"/>
        <w:tblLayout w:type="autofit"/>
        <w:tblCellMar>
          <w:top w:w="0" w:type="dxa"/>
          <w:left w:w="57" w:type="dxa"/>
          <w:bottom w:w="0" w:type="dxa"/>
          <w:right w:w="57" w:type="dxa"/>
        </w:tblCellMar>
      </w:tblPr>
      <w:tblGrid>
        <w:gridCol w:w="607"/>
        <w:gridCol w:w="9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0071BC"/>
          <w:tblCellMar>
            <w:top w:w="0" w:type="dxa"/>
            <w:left w:w="57" w:type="dxa"/>
            <w:bottom w:w="0" w:type="dxa"/>
            <w:right w:w="57" w:type="dxa"/>
          </w:tblCellMar>
        </w:tblPrEx>
        <w:tc>
          <w:tcPr>
            <w:tcW w:w="600" w:type="dxa"/>
            <w:shd w:val="clear" w:color="auto" w:fill="0071BC"/>
            <w:vAlign w:val="center"/>
          </w:tcPr>
          <w:p>
            <w:pPr>
              <w:jc w:val="center"/>
              <w:rPr>
                <w:rFonts w:ascii="Calibri" w:hAnsi="Calibri" w:cs="Calibri" w:eastAsiaTheme="minorHAnsi"/>
                <w:szCs w:val="21"/>
              </w:rPr>
            </w:pPr>
            <w:r>
              <w:rPr>
                <w:rFonts w:ascii="Calibri" w:hAnsi="Calibri" w:cs="Calibri" w:eastAsiaTheme="minorHAnsi"/>
                <w:szCs w:val="21"/>
              </w:rPr>
              <w:drawing>
                <wp:inline distT="0" distB="0" distL="0" distR="0">
                  <wp:extent cx="251460" cy="287655"/>
                  <wp:effectExtent l="0" t="0" r="0" b="0"/>
                  <wp:docPr id="16" name="图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形 8"/>
                          <pic:cNvPicPr>
                            <a:picLocks noChangeAspect="1"/>
                          </pic:cNvPicPr>
                        </pic:nvPicPr>
                        <pic:blipFill>
                          <a:blip r:embed="rId20" cstate="print">
                            <a:extLst>
                              <a:ext uri="{96DAC541-7B7A-43D3-8B79-37D633B846F1}">
                                <asvg:svgBlip xmlns:asvg="http://schemas.microsoft.com/office/drawing/2016/SVG/main" r:embed="rId21"/>
                              </a:ext>
                            </a:extLst>
                          </a:blip>
                          <a:stretch>
                            <a:fillRect/>
                          </a:stretch>
                        </pic:blipFill>
                        <pic:spPr>
                          <a:xfrm>
                            <a:off x="0" y="0"/>
                            <a:ext cx="252000" cy="288000"/>
                          </a:xfrm>
                          <a:prstGeom prst="rect">
                            <a:avLst/>
                          </a:prstGeom>
                        </pic:spPr>
                      </pic:pic>
                    </a:graphicData>
                  </a:graphic>
                </wp:inline>
              </w:drawing>
            </w:r>
          </w:p>
        </w:tc>
        <w:tc>
          <w:tcPr>
            <w:tcW w:w="9604" w:type="dxa"/>
            <w:shd w:val="clear" w:color="auto" w:fill="0071BC"/>
            <w:vAlign w:val="center"/>
          </w:tcPr>
          <w:p>
            <w:pPr>
              <w:rPr>
                <w:rFonts w:ascii="Calibri" w:hAnsi="Calibri" w:cs="Calibri" w:eastAsiaTheme="minorHAnsi"/>
                <w:color w:val="FFFFFF"/>
                <w:szCs w:val="21"/>
              </w:rPr>
            </w:pPr>
            <w:r>
              <w:rPr>
                <w:rFonts w:ascii="Calibri" w:hAnsi="Calibri" w:cs="Calibri"/>
                <w:b/>
                <w:bCs/>
                <w:color w:val="FFFFFF"/>
                <w:sz w:val="32"/>
                <w:szCs w:val="32"/>
              </w:rPr>
              <w:t>项目概览1：经济学与公共政策</w:t>
            </w:r>
          </w:p>
        </w:tc>
      </w:tr>
    </w:tbl>
    <w:p>
      <w:pPr>
        <w:widowControl/>
        <w:jc w:val="left"/>
        <w:rPr>
          <w:rFonts w:ascii="Calibri" w:hAnsi="Calibri" w:cs="Calibri"/>
        </w:rPr>
      </w:pPr>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751"/>
        <w:gridCol w:w="1519"/>
        <w:gridCol w:w="80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364" w:type="pct"/>
            <w:tcBorders>
              <w:bottom w:val="single" w:color="0071BC" w:sz="12" w:space="0"/>
            </w:tcBorders>
            <w:shd w:val="clear" w:color="auto" w:fill="0071BC"/>
            <w:tcMar>
              <w:top w:w="0" w:type="dxa"/>
              <w:bottom w:w="0" w:type="dxa"/>
            </w:tcMar>
            <w:vAlign w:val="center"/>
          </w:tcPr>
          <w:p>
            <w:pPr>
              <w:jc w:val="cente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rPr>
              <w:drawing>
                <wp:inline distT="0" distB="0" distL="0" distR="0">
                  <wp:extent cx="287655" cy="287655"/>
                  <wp:effectExtent l="0" t="0" r="0" b="0"/>
                  <wp:docPr id="28" name="图形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形 28"/>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87655" cy="287655"/>
                          </a:xfrm>
                          <a:prstGeom prst="rect">
                            <a:avLst/>
                          </a:prstGeom>
                        </pic:spPr>
                      </pic:pic>
                    </a:graphicData>
                  </a:graphic>
                </wp:inline>
              </w:drawing>
            </w:r>
          </w:p>
        </w:tc>
        <w:tc>
          <w:tcPr>
            <w:tcW w:w="736" w:type="pct"/>
            <w:tcBorders>
              <w:bottom w:val="single" w:color="0071BC" w:sz="12" w:space="0"/>
            </w:tcBorders>
            <w:shd w:val="clear" w:color="auto" w:fill="0071BC"/>
            <w:tcMar>
              <w:top w:w="0" w:type="dxa"/>
              <w:bottom w:w="0" w:type="dxa"/>
            </w:tcMar>
            <w:vAlign w:val="center"/>
          </w:tcPr>
          <w:p>
            <w:pP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eastAsiaTheme="minorHAnsi"/>
                <w:b/>
                <w:bCs/>
                <w:color w:val="FFFFFF"/>
                <w:sz w:val="32"/>
                <w:szCs w:val="32"/>
              </w:rPr>
              <w:t>课程概览</w:t>
            </w:r>
          </w:p>
        </w:tc>
        <w:tc>
          <w:tcPr>
            <w:tcW w:w="3900" w:type="pct"/>
            <w:tcBorders>
              <w:bottom w:val="single" w:color="0071BC" w:sz="12" w:space="0"/>
            </w:tcBorders>
            <w:tcMar>
              <w:top w:w="0" w:type="dxa"/>
              <w:bottom w:w="0" w:type="dxa"/>
            </w:tcMar>
          </w:tcPr>
          <w:p>
            <w:pPr>
              <w:rPr>
                <w:rFonts w:ascii="Calibri" w:hAnsi="Calibri" w:cs="Calibri"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p>
            <w:pPr>
              <w:spacing w:line="180" w:lineRule="exact"/>
              <w:rPr>
                <w:rFonts w:ascii="Calibri" w:hAnsi="Calibri" w:cs="Calibri"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p>
            <w:pPr>
              <w:spacing w:line="276" w:lineRule="auto"/>
              <w:rPr>
                <w:rFonts w:ascii="Calibri" w:hAnsi="Calibri" w:cs="Calibri" w:eastAsiaTheme="minorHAnsi"/>
                <w:sz w:val="23"/>
              </w:rPr>
            </w:pPr>
            <w:r>
              <w:rPr>
                <w:rFonts w:ascii="Calibri" w:hAnsi="Calibri" w:cs="Calibri" w:eastAsiaTheme="minorHAnsi"/>
                <w:sz w:val="23"/>
              </w:rPr>
              <w:t>本课程的目的是为学生提供必要的微观经济学工具，以评估和指导经济决策。学生将学习政府何时以及如何干预市场以改善社会福利。本课程将首先介绍福利经济学的基础知识，并展示市场如何具有有效交付商品和服务的能力。其次，本课程将探讨政府干预市场的三种经济原理，外部性、公共物品和不对称信息的存在；分析社会决策过程和投票；研究行为经济学及其与政策制定的关系。本课程的最后一部分将探讨法律和经济学，包括犯罪和责任经济学，相称性和法律内在化。</w:t>
            </w:r>
          </w:p>
          <w:p>
            <w:pPr>
              <w:spacing w:line="276" w:lineRule="auto"/>
              <w:rPr>
                <w:rFonts w:ascii="Calibri" w:hAnsi="Calibri" w:cs="Calibri" w:eastAsiaTheme="minorHAnsi"/>
                <w:b/>
                <w:bCs/>
                <w:sz w:val="23"/>
              </w:rPr>
            </w:pPr>
            <w:r>
              <w:rPr>
                <w:rFonts w:ascii="Calibri" w:hAnsi="Calibri" w:cs="Calibri" w:eastAsiaTheme="minorHAnsi"/>
                <w:b/>
                <w:bCs/>
                <w:sz w:val="23"/>
              </w:rPr>
              <w:t>本门课程理论可以参考的教科书：</w:t>
            </w:r>
          </w:p>
          <w:p>
            <w:pPr>
              <w:spacing w:line="276" w:lineRule="auto"/>
              <w:rPr>
                <w:rFonts w:ascii="Calibri" w:hAnsi="Calibri" w:cs="Calibri" w:eastAsiaTheme="minorHAnsi"/>
                <w:sz w:val="23"/>
                <w:szCs w:val="23"/>
              </w:rPr>
            </w:pPr>
            <w:r>
              <w:rPr>
                <w:rFonts w:ascii="Calibri" w:hAnsi="Calibri" w:cs="Calibri" w:eastAsiaTheme="minorHAnsi"/>
                <w:sz w:val="23"/>
                <w:szCs w:val="23"/>
              </w:rPr>
              <w:t>Varian, H (2014), Intermediate Microeconomics: A Modern Approach, 9th edition, W.W. Norton</w:t>
            </w:r>
          </w:p>
        </w:tc>
      </w:tr>
    </w:tbl>
    <w:p>
      <w:pPr>
        <w:widowControl/>
        <w:jc w:val="left"/>
        <w:rPr>
          <w:rFonts w:ascii="Calibri" w:hAnsi="Calibri" w:cs="Calibri"/>
        </w:rPr>
      </w:pPr>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751"/>
        <w:gridCol w:w="1519"/>
        <w:gridCol w:w="80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364" w:type="pct"/>
            <w:tcBorders>
              <w:bottom w:val="single" w:color="0071BC" w:sz="12" w:space="0"/>
            </w:tcBorders>
            <w:shd w:val="clear" w:color="auto" w:fill="0071BC"/>
            <w:tcMar>
              <w:top w:w="0" w:type="dxa"/>
              <w:bottom w:w="0" w:type="dxa"/>
            </w:tcMar>
            <w:vAlign w:val="center"/>
          </w:tcPr>
          <w:p>
            <w:pPr>
              <w:jc w:val="cente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rPr>
              <w:drawing>
                <wp:inline distT="0" distB="0" distL="0" distR="0">
                  <wp:extent cx="287655" cy="287655"/>
                  <wp:effectExtent l="0" t="0" r="0" b="0"/>
                  <wp:docPr id="30" name="图形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形 31"/>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87655" cy="287655"/>
                          </a:xfrm>
                          <a:prstGeom prst="rect">
                            <a:avLst/>
                          </a:prstGeom>
                        </pic:spPr>
                      </pic:pic>
                    </a:graphicData>
                  </a:graphic>
                </wp:inline>
              </w:drawing>
            </w:r>
          </w:p>
        </w:tc>
        <w:tc>
          <w:tcPr>
            <w:tcW w:w="736" w:type="pct"/>
            <w:tcBorders>
              <w:bottom w:val="single" w:color="0071BC" w:sz="12" w:space="0"/>
            </w:tcBorders>
            <w:shd w:val="clear" w:color="auto" w:fill="0071BC"/>
            <w:tcMar>
              <w:top w:w="0" w:type="dxa"/>
              <w:bottom w:w="0" w:type="dxa"/>
            </w:tcMar>
            <w:vAlign w:val="center"/>
          </w:tcPr>
          <w:p>
            <w:pP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eastAsiaTheme="minorHAnsi"/>
                <w:b/>
                <w:bCs/>
                <w:color w:val="FFFFFF"/>
                <w:sz w:val="32"/>
                <w:szCs w:val="32"/>
              </w:rPr>
              <w:t>课程结构</w:t>
            </w:r>
          </w:p>
        </w:tc>
        <w:tc>
          <w:tcPr>
            <w:tcW w:w="3900" w:type="pct"/>
            <w:tcBorders>
              <w:bottom w:val="single" w:color="0071BC" w:sz="12" w:space="0"/>
            </w:tcBorders>
            <w:tcMar>
              <w:top w:w="0" w:type="dxa"/>
              <w:bottom w:w="0" w:type="dxa"/>
            </w:tcMar>
          </w:tcPr>
          <w:p>
            <w:pPr>
              <w:rPr>
                <w:rFonts w:ascii="Calibri" w:hAnsi="Calibri" w:cs="Calibri"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p>
            <w:pPr>
              <w:spacing w:line="180" w:lineRule="exact"/>
              <w:rPr>
                <w:rFonts w:ascii="Calibri" w:hAnsi="Calibri" w:cs="Calibri"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tbl>
            <w:tblPr>
              <w:tblStyle w:val="7"/>
              <w:tblW w:w="5000" w:type="pct"/>
              <w:tblInd w:w="0" w:type="dxa"/>
              <w:tblBorders>
                <w:top w:val="none" w:color="auto" w:sz="0" w:space="0"/>
                <w:left w:val="none" w:color="auto" w:sz="0" w:space="0"/>
                <w:bottom w:val="single" w:color="A7D1F5" w:sz="6" w:space="0"/>
                <w:right w:val="none" w:color="auto" w:sz="0" w:space="0"/>
                <w:insideH w:val="single" w:color="A7D1F5" w:sz="6" w:space="0"/>
                <w:insideV w:val="none" w:color="auto" w:sz="0" w:space="0"/>
              </w:tblBorders>
              <w:tblLayout w:type="autofit"/>
              <w:tblCellMar>
                <w:top w:w="57" w:type="dxa"/>
                <w:left w:w="57" w:type="dxa"/>
                <w:bottom w:w="57" w:type="dxa"/>
                <w:right w:w="57" w:type="dxa"/>
              </w:tblCellMar>
            </w:tblPr>
            <w:tblGrid>
              <w:gridCol w:w="1186"/>
              <w:gridCol w:w="1792"/>
              <w:gridCol w:w="7226"/>
            </w:tblGrid>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tcBorders>
                    <w:top w:val="nil"/>
                    <w:left w:val="nil"/>
                    <w:bottom w:val="nil"/>
                    <w:right w:val="nil"/>
                  </w:tcBorders>
                  <w:shd w:val="clear" w:color="auto" w:fill="BDD6EE" w:themeFill="accent5" w:themeFillTint="66"/>
                  <w:vAlign w:val="center"/>
                </w:tcPr>
                <w:p>
                  <w:pPr>
                    <w:jc w:val="center"/>
                    <w:rPr>
                      <w:rFonts w:ascii="Calibri" w:hAnsi="Calibri" w:cs="Calibri" w:eastAsiaTheme="minorHAnsi"/>
                      <w:b/>
                      <w:bCs/>
                      <w:sz w:val="23"/>
                      <w:szCs w:val="23"/>
                    </w:rPr>
                  </w:pPr>
                  <w:bookmarkStart w:id="5" w:name="OLE_LINK4"/>
                  <w:bookmarkStart w:id="6" w:name="OLE_LINK5"/>
                  <w:r>
                    <w:rPr>
                      <w:rFonts w:ascii="Calibri" w:hAnsi="Calibri" w:cs="Calibri" w:eastAsiaTheme="minorHAnsi"/>
                      <w:b/>
                      <w:bCs/>
                      <w:sz w:val="23"/>
                      <w:szCs w:val="23"/>
                    </w:rPr>
                    <w:t>#</w:t>
                  </w:r>
                </w:p>
              </w:tc>
              <w:tc>
                <w:tcPr>
                  <w:tcW w:w="878" w:type="pct"/>
                  <w:tcBorders>
                    <w:top w:val="nil"/>
                    <w:left w:val="nil"/>
                    <w:bottom w:val="nil"/>
                    <w:right w:val="nil"/>
                  </w:tcBorders>
                  <w:shd w:val="clear" w:color="auto" w:fill="BDD6EE" w:themeFill="accent5" w:themeFillTint="66"/>
                  <w:vAlign w:val="center"/>
                </w:tcPr>
                <w:p>
                  <w:pPr>
                    <w:jc w:val="center"/>
                    <w:rPr>
                      <w:rFonts w:ascii="Calibri" w:hAnsi="Calibri" w:cs="Calibri" w:eastAsiaTheme="minorHAnsi"/>
                      <w:b/>
                      <w:bCs/>
                      <w:sz w:val="23"/>
                      <w:szCs w:val="23"/>
                    </w:rPr>
                  </w:pPr>
                  <w:r>
                    <w:rPr>
                      <w:rFonts w:ascii="Calibri" w:hAnsi="Calibri" w:cs="Calibri" w:eastAsiaTheme="minorHAnsi"/>
                      <w:b/>
                      <w:bCs/>
                      <w:sz w:val="23"/>
                      <w:szCs w:val="23"/>
                    </w:rPr>
                    <w:t>内容</w:t>
                  </w:r>
                </w:p>
              </w:tc>
              <w:tc>
                <w:tcPr>
                  <w:tcW w:w="3541" w:type="pct"/>
                  <w:tcBorders>
                    <w:top w:val="nil"/>
                    <w:left w:val="nil"/>
                    <w:bottom w:val="nil"/>
                    <w:right w:val="nil"/>
                  </w:tcBorders>
                  <w:shd w:val="clear" w:color="auto" w:fill="BDD6EE" w:themeFill="accent5" w:themeFillTint="66"/>
                  <w:vAlign w:val="center"/>
                </w:tcPr>
                <w:p>
                  <w:pPr>
                    <w:jc w:val="center"/>
                    <w:rPr>
                      <w:rFonts w:ascii="Calibri" w:hAnsi="Calibri" w:cs="Calibri" w:eastAsiaTheme="minorHAnsi"/>
                      <w:b/>
                      <w:bCs/>
                      <w:sz w:val="23"/>
                      <w:szCs w:val="23"/>
                    </w:rPr>
                  </w:pPr>
                  <w:r>
                    <w:rPr>
                      <w:rFonts w:ascii="Calibri" w:hAnsi="Calibri" w:cs="Calibri" w:eastAsiaTheme="minorHAnsi"/>
                      <w:b/>
                      <w:bCs/>
                      <w:sz w:val="23"/>
                      <w:szCs w:val="23"/>
                    </w:rPr>
                    <w:t>课程大纲</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tcBorders>
                    <w:top w:val="nil"/>
                    <w:left w:val="nil"/>
                    <w:right w:val="nil"/>
                  </w:tcBorders>
                  <w:shd w:val="clear" w:color="auto" w:fill="auto"/>
                  <w:vAlign w:val="center"/>
                </w:tcPr>
                <w:p>
                  <w:pPr>
                    <w:jc w:val="center"/>
                    <w:rPr>
                      <w:rFonts w:ascii="Calibri" w:hAnsi="Calibri" w:cs="Calibri"/>
                      <w:b/>
                      <w:bCs/>
                      <w:sz w:val="23"/>
                      <w:szCs w:val="23"/>
                    </w:rPr>
                  </w:pPr>
                  <w:r>
                    <w:rPr>
                      <w:rFonts w:ascii="Calibri" w:hAnsi="Calibri" w:cs="Calibri"/>
                      <w:b/>
                      <w:bCs/>
                      <w:sz w:val="23"/>
                      <w:szCs w:val="23"/>
                    </w:rPr>
                    <w:t>第一周</w:t>
                  </w:r>
                </w:p>
              </w:tc>
              <w:tc>
                <w:tcPr>
                  <w:tcW w:w="878" w:type="pct"/>
                  <w:tcBorders>
                    <w:top w:val="nil"/>
                    <w:left w:val="nil"/>
                    <w:bottom w:val="single" w:color="8EAADB" w:themeColor="accent1" w:themeTint="99" w:sz="4" w:space="0"/>
                    <w:right w:val="nil"/>
                  </w:tcBorders>
                  <w:vAlign w:val="center"/>
                </w:tcPr>
                <w:p>
                  <w:pPr>
                    <w:jc w:val="center"/>
                    <w:rPr>
                      <w:rFonts w:ascii="Calibri" w:hAnsi="Calibri" w:cs="Calibri"/>
                      <w:sz w:val="23"/>
                      <w:szCs w:val="23"/>
                    </w:rPr>
                  </w:pPr>
                  <w:r>
                    <w:rPr>
                      <w:rFonts w:ascii="Calibri" w:hAnsi="Calibri" w:cs="Calibri"/>
                      <w:b/>
                      <w:bCs/>
                      <w:sz w:val="23"/>
                      <w:szCs w:val="23"/>
                    </w:rPr>
                    <w:t>专业课程</w:t>
                  </w:r>
                </w:p>
              </w:tc>
              <w:tc>
                <w:tcPr>
                  <w:tcW w:w="3541" w:type="pct"/>
                  <w:tcBorders>
                    <w:top w:val="nil"/>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b/>
                      <w:bCs/>
                      <w:sz w:val="23"/>
                      <w:szCs w:val="23"/>
                    </w:rPr>
                    <w:t>项目导览&amp;欢迎致辞</w:t>
                  </w:r>
                </w:p>
                <w:p>
                  <w:pPr>
                    <w:rPr>
                      <w:rFonts w:ascii="Calibri" w:hAnsi="Calibri" w:cs="Calibri"/>
                      <w:b/>
                      <w:bCs/>
                      <w:sz w:val="23"/>
                      <w:szCs w:val="23"/>
                    </w:rPr>
                  </w:pPr>
                  <w:r>
                    <w:rPr>
                      <w:rFonts w:ascii="Calibri" w:hAnsi="Calibri" w:cs="Calibri"/>
                      <w:b/>
                      <w:bCs/>
                      <w:sz w:val="23"/>
                      <w:szCs w:val="23"/>
                    </w:rPr>
                    <w:t>福利经济学概览</w:t>
                  </w:r>
                </w:p>
                <w:p>
                  <w:pPr>
                    <w:pStyle w:val="15"/>
                    <w:widowControl/>
                    <w:ind w:firstLine="0" w:firstLineChars="0"/>
                    <w:rPr>
                      <w:rFonts w:cs="Calibri" w:eastAsiaTheme="minorEastAsia"/>
                      <w:bCs/>
                      <w:sz w:val="20"/>
                    </w:rPr>
                  </w:pPr>
                  <w:r>
                    <w:rPr>
                      <w:rFonts w:cs="Calibri" w:eastAsiaTheme="minorEastAsia"/>
                      <w:color w:val="000000"/>
                      <w:sz w:val="20"/>
                      <w:szCs w:val="20"/>
                    </w:rPr>
                    <w:t>规范经济学与实证经济学 / 帕累托和卡尔多-希克斯决策规则 / 福利函数（罗尔斯和实用主义） / 福利最大化以及各种衡量福利的方式</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restart"/>
                  <w:tcBorders>
                    <w:top w:val="single" w:color="8EAADB" w:themeColor="accent1" w:themeTint="99" w:sz="4" w:space="0"/>
                    <w:left w:val="nil"/>
                    <w:right w:val="nil"/>
                  </w:tcBorders>
                  <w:shd w:val="clear" w:color="auto" w:fill="auto"/>
                  <w:vAlign w:val="center"/>
                </w:tcPr>
                <w:p>
                  <w:pPr>
                    <w:jc w:val="center"/>
                    <w:rPr>
                      <w:rFonts w:ascii="Calibri" w:hAnsi="Calibri" w:cs="Calibri"/>
                      <w:b/>
                      <w:bCs/>
                      <w:sz w:val="23"/>
                      <w:szCs w:val="23"/>
                    </w:rPr>
                  </w:pPr>
                  <w:r>
                    <w:rPr>
                      <w:rFonts w:ascii="Calibri" w:hAnsi="Calibri" w:cs="Calibri"/>
                      <w:b/>
                      <w:bCs/>
                      <w:sz w:val="23"/>
                      <w:szCs w:val="23"/>
                    </w:rPr>
                    <w:t>第二周</w:t>
                  </w: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2"/>
                    </w:rPr>
                  </w:pPr>
                  <w:r>
                    <w:rPr>
                      <w:rFonts w:ascii="Calibri" w:hAnsi="Calibri" w:cs="Calibri"/>
                      <w:b/>
                      <w:bCs/>
                      <w:sz w:val="22"/>
                    </w:rPr>
                    <w:t>在线研讨课</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continue"/>
                  <w:tcBorders>
                    <w:left w:val="nil"/>
                    <w:right w:val="nil"/>
                  </w:tcBorders>
                  <w:shd w:val="clear" w:color="auto" w:fill="auto"/>
                  <w:vAlign w:val="center"/>
                </w:tcPr>
                <w:p>
                  <w:pPr>
                    <w:jc w:val="center"/>
                    <w:rPr>
                      <w:rFonts w:ascii="Calibri" w:hAnsi="Calibri" w:cs="Calibri"/>
                      <w:b/>
                      <w:bCs/>
                      <w:sz w:val="23"/>
                      <w:szCs w:val="23"/>
                    </w:rPr>
                  </w:pP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sz w:val="20"/>
                      <w:szCs w:val="20"/>
                    </w:rPr>
                  </w:pPr>
                  <w:r>
                    <w:rPr>
                      <w:rFonts w:ascii="Calibri" w:hAnsi="Calibri" w:cs="Calibri"/>
                      <w:b/>
                      <w:bCs/>
                      <w:sz w:val="23"/>
                      <w:szCs w:val="23"/>
                    </w:rPr>
                    <w:t>专业课程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pStyle w:val="15"/>
                    <w:widowControl/>
                    <w:ind w:firstLine="0" w:firstLineChars="0"/>
                    <w:rPr>
                      <w:rFonts w:cs="Calibri" w:eastAsiaTheme="minorEastAsia"/>
                      <w:b/>
                      <w:bCs/>
                      <w:sz w:val="23"/>
                      <w:szCs w:val="23"/>
                    </w:rPr>
                  </w:pPr>
                  <w:r>
                    <w:rPr>
                      <w:rFonts w:cs="Calibri" w:eastAsiaTheme="minorEastAsia"/>
                      <w:b/>
                      <w:bCs/>
                      <w:sz w:val="23"/>
                      <w:szCs w:val="23"/>
                    </w:rPr>
                    <w:t>基本福利定律</w:t>
                  </w:r>
                </w:p>
                <w:p>
                  <w:pPr>
                    <w:rPr>
                      <w:rFonts w:ascii="Calibri" w:hAnsi="Calibri" w:cs="Calibri"/>
                      <w:color w:val="000000"/>
                      <w:sz w:val="20"/>
                      <w:szCs w:val="20"/>
                    </w:rPr>
                  </w:pPr>
                  <w:r>
                    <w:rPr>
                      <w:rFonts w:ascii="Calibri" w:hAnsi="Calibri" w:cs="Calibri"/>
                      <w:color w:val="000000"/>
                      <w:sz w:val="20"/>
                      <w:szCs w:val="20"/>
                    </w:rPr>
                    <w:t>埃奇沃思框 / 福利经济学第一定律 / 福利经济学第二定律</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restart"/>
                  <w:tcBorders>
                    <w:top w:val="single" w:color="8EAADB" w:themeColor="accent1" w:themeTint="99" w:sz="4" w:space="0"/>
                    <w:left w:val="nil"/>
                    <w:right w:val="nil"/>
                  </w:tcBorders>
                  <w:shd w:val="clear" w:color="auto" w:fill="auto"/>
                  <w:vAlign w:val="center"/>
                </w:tcPr>
                <w:p>
                  <w:pPr>
                    <w:jc w:val="center"/>
                    <w:rPr>
                      <w:rFonts w:ascii="Calibri" w:hAnsi="Calibri" w:cs="Calibri"/>
                      <w:b/>
                      <w:bCs/>
                      <w:sz w:val="23"/>
                      <w:szCs w:val="23"/>
                    </w:rPr>
                  </w:pPr>
                  <w:r>
                    <w:rPr>
                      <w:rFonts w:ascii="Calibri" w:hAnsi="Calibri" w:cs="Calibri"/>
                      <w:b/>
                      <w:bCs/>
                      <w:sz w:val="23"/>
                      <w:szCs w:val="23"/>
                    </w:rPr>
                    <w:t>第三周</w:t>
                  </w: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sz w:val="22"/>
                    </w:rPr>
                  </w:pPr>
                  <w:r>
                    <w:rPr>
                      <w:rFonts w:ascii="Calibri" w:hAnsi="Calibri" w:cs="Calibri"/>
                      <w:b/>
                      <w:bCs/>
                      <w:sz w:val="22"/>
                    </w:rPr>
                    <w:t>在线研讨课</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continue"/>
                  <w:tcBorders>
                    <w:left w:val="nil"/>
                    <w:right w:val="nil"/>
                  </w:tcBorders>
                  <w:shd w:val="clear" w:color="auto" w:fill="auto"/>
                  <w:vAlign w:val="center"/>
                </w:tcPr>
                <w:p>
                  <w:pPr>
                    <w:jc w:val="center"/>
                    <w:rPr>
                      <w:rFonts w:ascii="Calibri" w:hAnsi="Calibri" w:cs="Calibri"/>
                      <w:b/>
                      <w:bCs/>
                      <w:sz w:val="23"/>
                      <w:szCs w:val="23"/>
                    </w:rPr>
                  </w:pP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3"/>
                      <w:szCs w:val="23"/>
                    </w:rPr>
                  </w:pPr>
                  <w:r>
                    <w:rPr>
                      <w:rFonts w:ascii="Calibri" w:hAnsi="Calibri" w:cs="Calibri"/>
                      <w:b/>
                      <w:bCs/>
                      <w:sz w:val="23"/>
                      <w:szCs w:val="23"/>
                    </w:rPr>
                    <w:t>专业课程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b/>
                      <w:bCs/>
                      <w:sz w:val="23"/>
                      <w:szCs w:val="23"/>
                    </w:rPr>
                    <w:t>外部性与公共物品</w:t>
                  </w:r>
                </w:p>
                <w:p>
                  <w:pPr>
                    <w:pStyle w:val="15"/>
                    <w:widowControl/>
                    <w:ind w:firstLine="0" w:firstLineChars="0"/>
                    <w:rPr>
                      <w:rFonts w:cs="Calibri" w:eastAsiaTheme="minorEastAsia"/>
                      <w:color w:val="000000"/>
                      <w:sz w:val="20"/>
                      <w:szCs w:val="20"/>
                    </w:rPr>
                  </w:pPr>
                  <w:r>
                    <w:rPr>
                      <w:rFonts w:cs="Calibri" w:eastAsiaTheme="minorEastAsia"/>
                      <w:color w:val="000000"/>
                      <w:sz w:val="20"/>
                      <w:szCs w:val="20"/>
                    </w:rPr>
                    <w:t>正负外部性 / 公共物品 / 离散公共物品和可变公共物品 / 从博弈论看公共物品</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restart"/>
                  <w:tcBorders>
                    <w:top w:val="single" w:color="8EAADB" w:themeColor="accent1" w:themeTint="99" w:sz="4" w:space="0"/>
                    <w:left w:val="nil"/>
                    <w:right w:val="nil"/>
                  </w:tcBorders>
                  <w:shd w:val="clear" w:color="auto" w:fill="auto"/>
                  <w:vAlign w:val="center"/>
                </w:tcPr>
                <w:p>
                  <w:pPr>
                    <w:jc w:val="center"/>
                    <w:rPr>
                      <w:rFonts w:ascii="Calibri" w:hAnsi="Calibri" w:cs="Calibri"/>
                      <w:b/>
                      <w:bCs/>
                      <w:sz w:val="23"/>
                      <w:szCs w:val="23"/>
                    </w:rPr>
                  </w:pPr>
                  <w:r>
                    <w:rPr>
                      <w:rFonts w:ascii="Calibri" w:hAnsi="Calibri" w:cs="Calibri"/>
                      <w:b/>
                      <w:bCs/>
                      <w:sz w:val="23"/>
                      <w:szCs w:val="23"/>
                    </w:rPr>
                    <w:t>第四周</w:t>
                  </w: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2"/>
                    </w:rPr>
                  </w:pPr>
                  <w:r>
                    <w:rPr>
                      <w:rFonts w:ascii="Calibri" w:hAnsi="Calibri" w:cs="Calibri"/>
                      <w:b/>
                      <w:bCs/>
                      <w:sz w:val="22"/>
                    </w:rPr>
                    <w:t>在线研讨课</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pStyle w:val="15"/>
                    <w:widowControl/>
                    <w:ind w:firstLine="0" w:firstLineChars="0"/>
                    <w:rPr>
                      <w:rFonts w:cs="Calibri" w:eastAsiaTheme="minorEastAsia"/>
                      <w:b/>
                      <w:bCs/>
                      <w:sz w:val="23"/>
                      <w:szCs w:val="23"/>
                    </w:rPr>
                  </w:pPr>
                  <w:r>
                    <w:rPr>
                      <w:rFonts w:cs="Calibri" w:eastAsiaTheme="minorEastAsia"/>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continue"/>
                  <w:tcBorders>
                    <w:left w:val="nil"/>
                    <w:right w:val="nil"/>
                  </w:tcBorders>
                  <w:shd w:val="clear" w:color="auto" w:fill="auto"/>
                  <w:vAlign w:val="center"/>
                </w:tcPr>
                <w:p>
                  <w:pPr>
                    <w:jc w:val="center"/>
                    <w:rPr>
                      <w:rFonts w:ascii="Calibri" w:hAnsi="Calibri" w:cs="Calibri"/>
                      <w:b/>
                      <w:bCs/>
                      <w:sz w:val="23"/>
                      <w:szCs w:val="23"/>
                    </w:rPr>
                  </w:pP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3"/>
                      <w:szCs w:val="23"/>
                    </w:rPr>
                  </w:pPr>
                  <w:r>
                    <w:rPr>
                      <w:rFonts w:ascii="Calibri" w:hAnsi="Calibri" w:cs="Calibri"/>
                      <w:b/>
                      <w:bCs/>
                      <w:sz w:val="23"/>
                      <w:szCs w:val="23"/>
                    </w:rPr>
                    <w:t>专业课程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pStyle w:val="15"/>
                    <w:widowControl/>
                    <w:ind w:firstLine="0" w:firstLineChars="0"/>
                    <w:rPr>
                      <w:rFonts w:cs="Calibri" w:eastAsiaTheme="minorEastAsia"/>
                      <w:b/>
                      <w:bCs/>
                      <w:sz w:val="23"/>
                      <w:szCs w:val="23"/>
                    </w:rPr>
                  </w:pPr>
                  <w:r>
                    <w:rPr>
                      <w:rFonts w:cs="Calibri" w:eastAsiaTheme="minorEastAsia"/>
                      <w:b/>
                      <w:bCs/>
                      <w:sz w:val="23"/>
                      <w:szCs w:val="23"/>
                    </w:rPr>
                    <w:t>信息不对称，投票和偏好汇总</w:t>
                  </w:r>
                </w:p>
                <w:p>
                  <w:pPr>
                    <w:rPr>
                      <w:rFonts w:ascii="Calibri" w:hAnsi="Calibri" w:cs="Calibri"/>
                      <w:color w:val="000000"/>
                      <w:sz w:val="20"/>
                      <w:szCs w:val="20"/>
                    </w:rPr>
                  </w:pPr>
                  <w:r>
                    <w:rPr>
                      <w:rFonts w:ascii="Calibri" w:hAnsi="Calibri" w:cs="Calibri"/>
                      <w:color w:val="000000"/>
                      <w:sz w:val="20"/>
                      <w:szCs w:val="20"/>
                    </w:rPr>
                    <w:t>逆向选择与柠檬市场 / 保险的作用和信息不对称带来的特殊问题 / 投票规则（例如，成对比赛和等级排序）及其问题 / 中位数选民定理和单峰偏好的作用以及中位数选民定理的经验有效性</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restart"/>
                  <w:tcBorders>
                    <w:left w:val="nil"/>
                    <w:right w:val="nil"/>
                  </w:tcBorders>
                  <w:shd w:val="clear" w:color="auto" w:fill="auto"/>
                  <w:vAlign w:val="center"/>
                </w:tcPr>
                <w:p>
                  <w:pPr>
                    <w:jc w:val="center"/>
                    <w:rPr>
                      <w:rFonts w:ascii="Calibri" w:hAnsi="Calibri" w:cs="Calibri"/>
                      <w:b/>
                      <w:bCs/>
                      <w:sz w:val="23"/>
                      <w:szCs w:val="23"/>
                    </w:rPr>
                  </w:pPr>
                  <w:r>
                    <w:rPr>
                      <w:rFonts w:ascii="Calibri" w:hAnsi="Calibri" w:cs="Calibri"/>
                      <w:b/>
                      <w:bCs/>
                      <w:sz w:val="23"/>
                      <w:szCs w:val="23"/>
                    </w:rPr>
                    <w:t>第五周</w:t>
                  </w: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2"/>
                    </w:rPr>
                  </w:pPr>
                  <w:r>
                    <w:rPr>
                      <w:rFonts w:ascii="Calibri" w:hAnsi="Calibri" w:cs="Calibri"/>
                      <w:b/>
                      <w:bCs/>
                      <w:sz w:val="22"/>
                    </w:rPr>
                    <w:t>在线研讨课</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pStyle w:val="15"/>
                    <w:widowControl/>
                    <w:ind w:firstLine="0" w:firstLineChars="0"/>
                    <w:rPr>
                      <w:rFonts w:cs="Calibri" w:eastAsiaTheme="minorEastAsia"/>
                      <w:b/>
                      <w:bCs/>
                      <w:sz w:val="23"/>
                      <w:szCs w:val="23"/>
                    </w:rPr>
                  </w:pPr>
                  <w:r>
                    <w:rPr>
                      <w:rFonts w:cs="Calibri" w:eastAsiaTheme="minorEastAsia"/>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continue"/>
                  <w:tcBorders>
                    <w:left w:val="nil"/>
                    <w:right w:val="nil"/>
                  </w:tcBorders>
                  <w:shd w:val="clear" w:color="auto" w:fill="auto"/>
                  <w:vAlign w:val="center"/>
                </w:tcPr>
                <w:p>
                  <w:pPr>
                    <w:jc w:val="center"/>
                    <w:rPr>
                      <w:rFonts w:ascii="Calibri" w:hAnsi="Calibri" w:cs="Calibri"/>
                      <w:b/>
                      <w:bCs/>
                      <w:sz w:val="23"/>
                      <w:szCs w:val="23"/>
                    </w:rPr>
                  </w:pP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3"/>
                      <w:szCs w:val="23"/>
                    </w:rPr>
                  </w:pPr>
                  <w:r>
                    <w:rPr>
                      <w:rFonts w:ascii="Calibri" w:hAnsi="Calibri" w:cs="Calibri"/>
                      <w:b/>
                      <w:bCs/>
                      <w:sz w:val="23"/>
                      <w:szCs w:val="23"/>
                    </w:rPr>
                    <w:t>专业课程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pStyle w:val="15"/>
                    <w:widowControl/>
                    <w:ind w:firstLine="0" w:firstLineChars="0"/>
                    <w:rPr>
                      <w:rFonts w:cs="Calibri" w:eastAsiaTheme="minorEastAsia"/>
                      <w:b/>
                      <w:bCs/>
                      <w:sz w:val="23"/>
                      <w:szCs w:val="23"/>
                    </w:rPr>
                  </w:pPr>
                  <w:r>
                    <w:rPr>
                      <w:rFonts w:cs="Calibri" w:eastAsiaTheme="minorEastAsia"/>
                      <w:b/>
                      <w:bCs/>
                      <w:sz w:val="23"/>
                      <w:szCs w:val="23"/>
                    </w:rPr>
                    <w:t>公共政策中的行为经济学</w:t>
                  </w:r>
                </w:p>
                <w:p>
                  <w:pPr>
                    <w:rPr>
                      <w:rFonts w:ascii="Calibri" w:hAnsi="Calibri" w:cs="Calibri"/>
                      <w:color w:val="000000"/>
                      <w:sz w:val="20"/>
                      <w:szCs w:val="20"/>
                    </w:rPr>
                  </w:pPr>
                  <w:r>
                    <w:rPr>
                      <w:rFonts w:ascii="Calibri" w:hAnsi="Calibri" w:cs="Calibri"/>
                      <w:color w:val="000000"/>
                      <w:sz w:val="20"/>
                      <w:szCs w:val="20"/>
                    </w:rPr>
                    <w:t>行为经济学基本概念与理论 / 行为经济学对政策决策者的影响</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restart"/>
                  <w:tcBorders>
                    <w:left w:val="nil"/>
                    <w:right w:val="nil"/>
                  </w:tcBorders>
                  <w:shd w:val="clear" w:color="auto" w:fill="auto"/>
                  <w:vAlign w:val="center"/>
                </w:tcPr>
                <w:p>
                  <w:pPr>
                    <w:jc w:val="center"/>
                    <w:rPr>
                      <w:rFonts w:ascii="Calibri" w:hAnsi="Calibri" w:cs="Calibri"/>
                      <w:b/>
                      <w:bCs/>
                      <w:sz w:val="23"/>
                      <w:szCs w:val="23"/>
                    </w:rPr>
                  </w:pPr>
                  <w:r>
                    <w:rPr>
                      <w:rFonts w:ascii="Calibri" w:hAnsi="Calibri" w:cs="Calibri"/>
                      <w:b/>
                      <w:bCs/>
                      <w:sz w:val="23"/>
                      <w:szCs w:val="23"/>
                    </w:rPr>
                    <w:t>第六周</w:t>
                  </w: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2"/>
                    </w:rPr>
                  </w:pPr>
                  <w:r>
                    <w:rPr>
                      <w:rFonts w:ascii="Calibri" w:hAnsi="Calibri" w:cs="Calibri"/>
                      <w:b/>
                      <w:bCs/>
                      <w:sz w:val="22"/>
                    </w:rPr>
                    <w:t>在线研讨课</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continue"/>
                  <w:tcBorders>
                    <w:left w:val="nil"/>
                    <w:right w:val="nil"/>
                  </w:tcBorders>
                  <w:shd w:val="clear" w:color="auto" w:fill="auto"/>
                  <w:vAlign w:val="center"/>
                </w:tcPr>
                <w:p>
                  <w:pPr>
                    <w:jc w:val="center"/>
                    <w:rPr>
                      <w:rFonts w:ascii="Calibri" w:hAnsi="Calibri" w:cs="Calibri"/>
                      <w:b/>
                      <w:bCs/>
                      <w:sz w:val="23"/>
                      <w:szCs w:val="23"/>
                    </w:rPr>
                  </w:pP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3"/>
                      <w:szCs w:val="23"/>
                    </w:rPr>
                  </w:pPr>
                  <w:r>
                    <w:rPr>
                      <w:rFonts w:ascii="Calibri" w:hAnsi="Calibri" w:cs="Calibri"/>
                      <w:b/>
                      <w:bCs/>
                      <w:sz w:val="23"/>
                      <w:szCs w:val="23"/>
                    </w:rPr>
                    <w:t>专业课程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b/>
                      <w:bCs/>
                      <w:sz w:val="23"/>
                      <w:szCs w:val="23"/>
                    </w:rPr>
                    <w:t>公共政策中的法学与经济学</w:t>
                  </w:r>
                </w:p>
                <w:p>
                  <w:pPr>
                    <w:rPr>
                      <w:rFonts w:ascii="Calibri" w:hAnsi="Calibri" w:cs="Calibri"/>
                      <w:color w:val="000000"/>
                      <w:sz w:val="20"/>
                      <w:szCs w:val="20"/>
                    </w:rPr>
                  </w:pPr>
                  <w:r>
                    <w:rPr>
                      <w:rFonts w:ascii="Calibri" w:hAnsi="Calibri" w:cs="Calibri"/>
                      <w:color w:val="000000"/>
                      <w:sz w:val="20"/>
                      <w:szCs w:val="20"/>
                    </w:rPr>
                    <w:t>法律与经济学 / 犯罪与责任经济学 / 比例和法律内在化</w:t>
                  </w:r>
                </w:p>
                <w:p>
                  <w:pPr>
                    <w:rPr>
                      <w:rFonts w:ascii="Calibri" w:hAnsi="Calibri" w:cs="Calibri"/>
                      <w:b/>
                      <w:bCs/>
                      <w:sz w:val="23"/>
                      <w:szCs w:val="23"/>
                    </w:rPr>
                  </w:pPr>
                  <w:r>
                    <w:rPr>
                      <w:rFonts w:ascii="Calibri" w:hAnsi="Calibri" w:cs="Calibri"/>
                      <w:b/>
                      <w:bCs/>
                      <w:sz w:val="23"/>
                      <w:szCs w:val="23"/>
                    </w:rPr>
                    <w:t>小组结业汇报展示&amp;项目结业仪式</w:t>
                  </w:r>
                </w:p>
              </w:tc>
            </w:tr>
            <w:bookmarkEnd w:id="5"/>
            <w:bookmarkEnd w:id="6"/>
          </w:tbl>
          <w:p>
            <w:pPr>
              <w:widowControl/>
              <w:jc w:val="left"/>
              <w:rPr>
                <w:rFonts w:ascii="Calibri" w:hAnsi="Calibri" w:cs="Calibri" w:eastAsiaTheme="minorHAnsi"/>
                <w:sz w:val="20"/>
                <w:szCs w:val="20"/>
              </w:rPr>
            </w:pPr>
            <w:r>
              <w:rPr>
                <w:rFonts w:ascii="Calibri" w:hAnsi="Calibri" w:cs="Calibri"/>
                <w:sz w:val="20"/>
                <w:szCs w:val="20"/>
              </w:rPr>
              <w:t>注：以上课程时间安排为拟定，具体安排视情况会略有调整</w:t>
            </w:r>
          </w:p>
        </w:tc>
      </w:tr>
    </w:tbl>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658"/>
        <w:gridCol w:w="96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319" w:type="pct"/>
            <w:shd w:val="clear" w:color="auto" w:fill="0071BC"/>
            <w:tcMar>
              <w:top w:w="0" w:type="dxa"/>
              <w:bottom w:w="0" w:type="dxa"/>
            </w:tcMar>
            <w:vAlign w:val="center"/>
          </w:tcPr>
          <w:p>
            <w:pP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eastAsiaTheme="minorHAnsi"/>
                <w:b/>
                <w:bCs/>
                <w:color w:val="FFFFFF" w:themeColor="background1"/>
                <w:sz w:val="32"/>
                <w:szCs w:val="32"/>
                <w14:textFill>
                  <w14:solidFill>
                    <w14:schemeClr w14:val="bg1"/>
                  </w14:solidFill>
                </w14:textFill>
              </w:rPr>
              <w:drawing>
                <wp:inline distT="0" distB="0" distL="0" distR="0">
                  <wp:extent cx="287655" cy="287655"/>
                  <wp:effectExtent l="0" t="0" r="0" b="0"/>
                  <wp:docPr id="9" name="图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形 5"/>
                          <pic:cNvPicPr>
                            <a:picLocks noChangeAspect="1"/>
                          </pic:cNvPicPr>
                        </pic:nvPicPr>
                        <pic:blipFill>
                          <a:blip r:embed="rId19" cstate="print">
                            <a:extLst>
                              <a:ext uri="{96DAC541-7B7A-43D3-8B79-37D633B846F1}">
                                <asvg:svgBlip xmlns:asvg="http://schemas.microsoft.com/office/drawing/2016/SVG/main" r:embed="rId16"/>
                              </a:ext>
                            </a:extLst>
                          </a:blip>
                          <a:stretch>
                            <a:fillRect/>
                          </a:stretch>
                        </pic:blipFill>
                        <pic:spPr>
                          <a:xfrm>
                            <a:off x="0" y="0"/>
                            <a:ext cx="288000" cy="288000"/>
                          </a:xfrm>
                          <a:prstGeom prst="rect">
                            <a:avLst/>
                          </a:prstGeom>
                        </pic:spPr>
                      </pic:pic>
                    </a:graphicData>
                  </a:graphic>
                </wp:inline>
              </w:drawing>
            </w:r>
          </w:p>
        </w:tc>
        <w:tc>
          <w:tcPr>
            <w:tcW w:w="4681" w:type="pct"/>
            <w:shd w:val="clear" w:color="auto" w:fill="0071BC"/>
          </w:tcPr>
          <w:p>
            <w:pP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eastAsiaTheme="minorHAnsi"/>
                <w:b/>
                <w:bCs/>
                <w:color w:val="FFFFFF"/>
                <w:sz w:val="32"/>
                <w:szCs w:val="32"/>
              </w:rPr>
              <w:t>课程主题2：</w:t>
            </w:r>
            <w:r>
              <w:rPr>
                <w:rFonts w:ascii="Calibri" w:hAnsi="Calibri" w:cs="Calibri"/>
                <w:b/>
                <w:bCs/>
                <w:color w:val="FFFFFF"/>
                <w:sz w:val="32"/>
                <w:szCs w:val="32"/>
              </w:rPr>
              <w:t>商业战略与管理</w:t>
            </w:r>
          </w:p>
        </w:tc>
      </w:tr>
    </w:tbl>
    <w:p>
      <w:pPr>
        <w:widowControl/>
        <w:jc w:val="left"/>
        <w:rPr>
          <w:rFonts w:ascii="Calibri" w:hAnsi="Calibri" w:cs="Calibri"/>
        </w:rPr>
      </w:pPr>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751"/>
        <w:gridCol w:w="1519"/>
        <w:gridCol w:w="80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364" w:type="pct"/>
            <w:tcBorders>
              <w:bottom w:val="single" w:color="0071BC" w:sz="12" w:space="0"/>
            </w:tcBorders>
            <w:shd w:val="clear" w:color="auto" w:fill="0071BC"/>
            <w:tcMar>
              <w:top w:w="0" w:type="dxa"/>
              <w:bottom w:w="0" w:type="dxa"/>
            </w:tcMar>
            <w:vAlign w:val="center"/>
          </w:tcPr>
          <w:p>
            <w:pPr>
              <w:jc w:val="cente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rPr>
              <w:drawing>
                <wp:inline distT="0" distB="0" distL="0" distR="0">
                  <wp:extent cx="287655" cy="287655"/>
                  <wp:effectExtent l="0" t="0" r="0" b="0"/>
                  <wp:docPr id="10" name="图形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形 10"/>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87655" cy="287655"/>
                          </a:xfrm>
                          <a:prstGeom prst="rect">
                            <a:avLst/>
                          </a:prstGeom>
                        </pic:spPr>
                      </pic:pic>
                    </a:graphicData>
                  </a:graphic>
                </wp:inline>
              </w:drawing>
            </w:r>
          </w:p>
        </w:tc>
        <w:tc>
          <w:tcPr>
            <w:tcW w:w="736" w:type="pct"/>
            <w:tcBorders>
              <w:bottom w:val="single" w:color="0071BC" w:sz="12" w:space="0"/>
            </w:tcBorders>
            <w:shd w:val="clear" w:color="auto" w:fill="0071BC"/>
            <w:tcMar>
              <w:top w:w="0" w:type="dxa"/>
              <w:bottom w:w="0" w:type="dxa"/>
            </w:tcMar>
            <w:vAlign w:val="center"/>
          </w:tcPr>
          <w:p>
            <w:pP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eastAsiaTheme="minorHAnsi"/>
                <w:b/>
                <w:bCs/>
                <w:color w:val="FFFFFF"/>
                <w:sz w:val="32"/>
                <w:szCs w:val="32"/>
              </w:rPr>
              <w:t>课程概览</w:t>
            </w:r>
          </w:p>
        </w:tc>
        <w:tc>
          <w:tcPr>
            <w:tcW w:w="3900" w:type="pct"/>
            <w:tcBorders>
              <w:bottom w:val="single" w:color="0071BC" w:sz="12" w:space="0"/>
            </w:tcBorders>
            <w:tcMar>
              <w:top w:w="0" w:type="dxa"/>
              <w:bottom w:w="0" w:type="dxa"/>
            </w:tcMar>
          </w:tcPr>
          <w:p>
            <w:pPr>
              <w:rPr>
                <w:rFonts w:ascii="Calibri" w:hAnsi="Calibri" w:cs="Calibri"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p>
            <w:pPr>
              <w:spacing w:line="180" w:lineRule="exact"/>
              <w:rPr>
                <w:rFonts w:ascii="Calibri" w:hAnsi="Calibri" w:cs="Calibri"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p>
            <w:pPr>
              <w:spacing w:line="276" w:lineRule="auto"/>
              <w:rPr>
                <w:rFonts w:ascii="Calibri" w:hAnsi="Calibri" w:cs="Calibri" w:eastAsiaTheme="minorHAnsi"/>
                <w:sz w:val="23"/>
              </w:rPr>
            </w:pPr>
            <w:r>
              <w:rPr>
                <w:rFonts w:ascii="Calibri" w:hAnsi="Calibri" w:cs="Calibri" w:eastAsiaTheme="minorHAnsi"/>
                <w:sz w:val="23"/>
              </w:rPr>
              <w:t>为什么有些公司比其他公司更成功？这是战略的根本问题。由于具有竞争优势的公司会获得卓越的绩效，因此本课程将研究公司如何发展和保持竞争优势。战略是为帮助总经理（与负责特定职能（例如财务，生产，营销，人力资源，IT等）的职能经理相对）而开发的管理领域。从长远来看，这将改善组织的竞争地位，并为其主要利益相关者创造价值。战略领域由所有理论，概念，方法和工具组成，高级管理人员可以使用这些理论，概念，方法和工具来确保组织的盈利和长期增长。</w:t>
            </w:r>
          </w:p>
          <w:p>
            <w:pPr>
              <w:spacing w:line="276" w:lineRule="auto"/>
              <w:rPr>
                <w:rFonts w:ascii="Calibri" w:hAnsi="Calibri" w:cs="Calibri" w:eastAsiaTheme="minorHAnsi"/>
                <w:b/>
                <w:bCs/>
                <w:sz w:val="23"/>
              </w:rPr>
            </w:pPr>
            <w:r>
              <w:rPr>
                <w:rFonts w:ascii="Calibri" w:hAnsi="Calibri" w:cs="Calibri" w:eastAsiaTheme="minorHAnsi"/>
                <w:b/>
                <w:bCs/>
                <w:sz w:val="23"/>
              </w:rPr>
              <w:t>学习目标：</w:t>
            </w:r>
          </w:p>
          <w:p>
            <w:pPr>
              <w:spacing w:line="276" w:lineRule="auto"/>
              <w:rPr>
                <w:rFonts w:ascii="Calibri" w:hAnsi="Calibri" w:cs="Calibri" w:eastAsiaTheme="minorHAnsi"/>
                <w:szCs w:val="21"/>
              </w:rPr>
            </w:pPr>
            <w:r>
              <w:rPr>
                <w:rFonts w:ascii="Calibri" w:hAnsi="Calibri" w:cs="Calibri" w:eastAsiaTheme="minorHAnsi"/>
                <w:szCs w:val="21"/>
              </w:rPr>
              <w:t>- 分析行业结构和环境趋势以评估行业潜力</w:t>
            </w:r>
          </w:p>
          <w:p>
            <w:pPr>
              <w:spacing w:line="276" w:lineRule="auto"/>
              <w:rPr>
                <w:rFonts w:ascii="Calibri" w:hAnsi="Calibri" w:cs="Calibri" w:eastAsiaTheme="minorHAnsi"/>
                <w:szCs w:val="21"/>
              </w:rPr>
            </w:pPr>
            <w:r>
              <w:rPr>
                <w:rFonts w:ascii="Calibri" w:hAnsi="Calibri" w:cs="Calibri" w:eastAsiaTheme="minorHAnsi"/>
                <w:szCs w:val="21"/>
              </w:rPr>
              <w:t>- 评估公司的竞争地位并评估公司级的资源和能力</w:t>
            </w:r>
          </w:p>
          <w:p>
            <w:pPr>
              <w:spacing w:line="276" w:lineRule="auto"/>
              <w:rPr>
                <w:rFonts w:ascii="Calibri" w:hAnsi="Calibri" w:cs="Calibri" w:eastAsiaTheme="minorHAnsi"/>
                <w:sz w:val="23"/>
              </w:rPr>
            </w:pPr>
            <w:r>
              <w:rPr>
                <w:rFonts w:ascii="Calibri" w:hAnsi="Calibri" w:cs="Calibri" w:eastAsiaTheme="minorHAnsi"/>
                <w:szCs w:val="21"/>
              </w:rPr>
              <w:t>- 制定业务部门和企业战略，在面对不确定性和复杂性获得竞争优势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tcPr>
          <w:p>
            <w:pPr>
              <w:spacing w:line="180" w:lineRule="exact"/>
              <w:rPr>
                <w:rFonts w:ascii="Calibri" w:hAnsi="Calibri" w:cs="Calibri" w:eastAsiaTheme="minorHAnsi"/>
                <w:b/>
                <w:bCs/>
                <w:color w:val="0071BC"/>
                <w:sz w:val="28"/>
                <w:szCs w:val="28"/>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364" w:type="pct"/>
            <w:tcBorders>
              <w:bottom w:val="single" w:color="0071BC" w:sz="12" w:space="0"/>
            </w:tcBorders>
            <w:shd w:val="clear" w:color="auto" w:fill="0071BC"/>
            <w:tcMar>
              <w:top w:w="0" w:type="dxa"/>
              <w:bottom w:w="0" w:type="dxa"/>
            </w:tcMar>
            <w:vAlign w:val="center"/>
          </w:tcPr>
          <w:p>
            <w:pPr>
              <w:jc w:val="cente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rPr>
              <w:drawing>
                <wp:inline distT="0" distB="0" distL="0" distR="0">
                  <wp:extent cx="287655" cy="287655"/>
                  <wp:effectExtent l="0" t="0" r="0" b="0"/>
                  <wp:docPr id="11" name="图形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形 11"/>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87655" cy="287655"/>
                          </a:xfrm>
                          <a:prstGeom prst="rect">
                            <a:avLst/>
                          </a:prstGeom>
                        </pic:spPr>
                      </pic:pic>
                    </a:graphicData>
                  </a:graphic>
                </wp:inline>
              </w:drawing>
            </w:r>
          </w:p>
        </w:tc>
        <w:tc>
          <w:tcPr>
            <w:tcW w:w="736" w:type="pct"/>
            <w:tcBorders>
              <w:bottom w:val="single" w:color="0071BC" w:sz="12" w:space="0"/>
            </w:tcBorders>
            <w:shd w:val="clear" w:color="auto" w:fill="0071BC"/>
            <w:tcMar>
              <w:top w:w="0" w:type="dxa"/>
              <w:bottom w:w="0" w:type="dxa"/>
            </w:tcMar>
            <w:vAlign w:val="center"/>
          </w:tcPr>
          <w:p>
            <w:pP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eastAsiaTheme="minorHAnsi"/>
                <w:b/>
                <w:bCs/>
                <w:color w:val="FFFFFF"/>
                <w:sz w:val="32"/>
                <w:szCs w:val="32"/>
              </w:rPr>
              <w:t>课程结构</w:t>
            </w:r>
          </w:p>
        </w:tc>
        <w:tc>
          <w:tcPr>
            <w:tcW w:w="3900" w:type="pct"/>
            <w:tcBorders>
              <w:bottom w:val="single" w:color="0071BC" w:sz="12" w:space="0"/>
            </w:tcBorders>
            <w:tcMar>
              <w:top w:w="0" w:type="dxa"/>
              <w:bottom w:w="0" w:type="dxa"/>
            </w:tcMar>
          </w:tcPr>
          <w:p>
            <w:pPr>
              <w:rPr>
                <w:rFonts w:ascii="Calibri" w:hAnsi="Calibri" w:cs="Calibri"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p>
            <w:pPr>
              <w:spacing w:line="180" w:lineRule="exact"/>
              <w:rPr>
                <w:rFonts w:ascii="Calibri" w:hAnsi="Calibri" w:cs="Calibri"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tbl>
            <w:tblPr>
              <w:tblStyle w:val="7"/>
              <w:tblW w:w="5000" w:type="pct"/>
              <w:tblInd w:w="0" w:type="dxa"/>
              <w:tblBorders>
                <w:top w:val="none" w:color="auto" w:sz="0" w:space="0"/>
                <w:left w:val="none" w:color="auto" w:sz="0" w:space="0"/>
                <w:bottom w:val="single" w:color="A7D1F5" w:sz="6" w:space="0"/>
                <w:right w:val="none" w:color="auto" w:sz="0" w:space="0"/>
                <w:insideH w:val="single" w:color="A7D1F5" w:sz="6" w:space="0"/>
                <w:insideV w:val="none" w:color="auto" w:sz="0" w:space="0"/>
              </w:tblBorders>
              <w:tblLayout w:type="autofit"/>
              <w:tblCellMar>
                <w:top w:w="57" w:type="dxa"/>
                <w:left w:w="57" w:type="dxa"/>
                <w:bottom w:w="57" w:type="dxa"/>
                <w:right w:w="57" w:type="dxa"/>
              </w:tblCellMar>
            </w:tblPr>
            <w:tblGrid>
              <w:gridCol w:w="1186"/>
              <w:gridCol w:w="1792"/>
              <w:gridCol w:w="7226"/>
            </w:tblGrid>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tcBorders>
                    <w:top w:val="nil"/>
                    <w:left w:val="nil"/>
                    <w:bottom w:val="nil"/>
                    <w:right w:val="nil"/>
                  </w:tcBorders>
                  <w:shd w:val="clear" w:color="auto" w:fill="BDD6EE" w:themeFill="accent5" w:themeFillTint="66"/>
                  <w:vAlign w:val="center"/>
                </w:tcPr>
                <w:p>
                  <w:pPr>
                    <w:jc w:val="center"/>
                    <w:rPr>
                      <w:rFonts w:ascii="Calibri" w:hAnsi="Calibri" w:cs="Calibri"/>
                      <w:b/>
                      <w:bCs/>
                      <w:sz w:val="23"/>
                      <w:szCs w:val="23"/>
                    </w:rPr>
                  </w:pPr>
                  <w:r>
                    <w:rPr>
                      <w:rFonts w:ascii="Calibri" w:hAnsi="Calibri" w:cs="Calibri"/>
                      <w:b/>
                      <w:bCs/>
                      <w:sz w:val="23"/>
                      <w:szCs w:val="23"/>
                    </w:rPr>
                    <w:t>#</w:t>
                  </w:r>
                </w:p>
              </w:tc>
              <w:tc>
                <w:tcPr>
                  <w:tcW w:w="878" w:type="pct"/>
                  <w:tcBorders>
                    <w:top w:val="nil"/>
                    <w:left w:val="nil"/>
                    <w:bottom w:val="nil"/>
                    <w:right w:val="nil"/>
                  </w:tcBorders>
                  <w:shd w:val="clear" w:color="auto" w:fill="BDD6EE" w:themeFill="accent5" w:themeFillTint="66"/>
                  <w:vAlign w:val="center"/>
                </w:tcPr>
                <w:p>
                  <w:pPr>
                    <w:jc w:val="center"/>
                    <w:rPr>
                      <w:rFonts w:ascii="Calibri" w:hAnsi="Calibri" w:cs="Calibri"/>
                      <w:b/>
                      <w:bCs/>
                      <w:sz w:val="23"/>
                      <w:szCs w:val="23"/>
                    </w:rPr>
                  </w:pPr>
                  <w:r>
                    <w:rPr>
                      <w:rFonts w:ascii="Calibri" w:hAnsi="Calibri" w:cs="Calibri"/>
                      <w:b/>
                      <w:bCs/>
                      <w:sz w:val="23"/>
                      <w:szCs w:val="23"/>
                    </w:rPr>
                    <w:t>内容</w:t>
                  </w:r>
                </w:p>
              </w:tc>
              <w:tc>
                <w:tcPr>
                  <w:tcW w:w="3541" w:type="pct"/>
                  <w:tcBorders>
                    <w:top w:val="nil"/>
                    <w:left w:val="nil"/>
                    <w:bottom w:val="nil"/>
                    <w:right w:val="nil"/>
                  </w:tcBorders>
                  <w:shd w:val="clear" w:color="auto" w:fill="BDD6EE" w:themeFill="accent5" w:themeFillTint="66"/>
                  <w:vAlign w:val="center"/>
                </w:tcPr>
                <w:p>
                  <w:pPr>
                    <w:jc w:val="center"/>
                    <w:rPr>
                      <w:rFonts w:ascii="Calibri" w:hAnsi="Calibri" w:cs="Calibri"/>
                      <w:b/>
                      <w:bCs/>
                      <w:sz w:val="23"/>
                      <w:szCs w:val="23"/>
                    </w:rPr>
                  </w:pPr>
                  <w:r>
                    <w:rPr>
                      <w:rFonts w:ascii="Calibri" w:hAnsi="Calibri" w:cs="Calibri"/>
                      <w:b/>
                      <w:bCs/>
                      <w:sz w:val="23"/>
                      <w:szCs w:val="23"/>
                    </w:rPr>
                    <w:t>课程大纲</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tcBorders>
                    <w:top w:val="nil"/>
                    <w:left w:val="nil"/>
                    <w:right w:val="nil"/>
                  </w:tcBorders>
                  <w:shd w:val="clear" w:color="auto" w:fill="auto"/>
                  <w:vAlign w:val="center"/>
                </w:tcPr>
                <w:p>
                  <w:pPr>
                    <w:jc w:val="center"/>
                    <w:rPr>
                      <w:rFonts w:ascii="Calibri" w:hAnsi="Calibri" w:cs="Calibri"/>
                      <w:b/>
                      <w:bCs/>
                      <w:sz w:val="23"/>
                      <w:szCs w:val="23"/>
                    </w:rPr>
                  </w:pPr>
                  <w:r>
                    <w:rPr>
                      <w:rFonts w:ascii="Calibri" w:hAnsi="Calibri" w:cs="Calibri"/>
                      <w:b/>
                      <w:bCs/>
                      <w:sz w:val="23"/>
                      <w:szCs w:val="23"/>
                    </w:rPr>
                    <w:t>第一周</w:t>
                  </w:r>
                </w:p>
              </w:tc>
              <w:tc>
                <w:tcPr>
                  <w:tcW w:w="878" w:type="pct"/>
                  <w:tcBorders>
                    <w:top w:val="nil"/>
                    <w:left w:val="nil"/>
                    <w:bottom w:val="single" w:color="8EAADB" w:themeColor="accent1" w:themeTint="99" w:sz="4" w:space="0"/>
                    <w:right w:val="nil"/>
                  </w:tcBorders>
                  <w:vAlign w:val="center"/>
                </w:tcPr>
                <w:p>
                  <w:pPr>
                    <w:jc w:val="center"/>
                    <w:rPr>
                      <w:rFonts w:ascii="Calibri" w:hAnsi="Calibri" w:cs="Calibri"/>
                      <w:sz w:val="23"/>
                      <w:szCs w:val="23"/>
                    </w:rPr>
                  </w:pPr>
                  <w:r>
                    <w:rPr>
                      <w:rFonts w:ascii="Calibri" w:hAnsi="Calibri" w:cs="Calibri"/>
                      <w:b/>
                      <w:bCs/>
                      <w:sz w:val="23"/>
                      <w:szCs w:val="23"/>
                    </w:rPr>
                    <w:t>专业课程</w:t>
                  </w:r>
                </w:p>
              </w:tc>
              <w:tc>
                <w:tcPr>
                  <w:tcW w:w="3541" w:type="pct"/>
                  <w:tcBorders>
                    <w:top w:val="nil"/>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b/>
                      <w:bCs/>
                      <w:sz w:val="23"/>
                      <w:szCs w:val="23"/>
                    </w:rPr>
                    <w:t>项目导览&amp;欢迎致辞</w:t>
                  </w:r>
                </w:p>
                <w:p>
                  <w:pPr>
                    <w:rPr>
                      <w:rFonts w:ascii="Calibri" w:hAnsi="Calibri" w:cs="Calibri"/>
                      <w:b/>
                      <w:bCs/>
                      <w:sz w:val="23"/>
                      <w:szCs w:val="23"/>
                    </w:rPr>
                  </w:pPr>
                  <w:r>
                    <w:rPr>
                      <w:rFonts w:ascii="Calibri" w:hAnsi="Calibri" w:cs="Calibri"/>
                      <w:b/>
                      <w:bCs/>
                      <w:sz w:val="23"/>
                      <w:szCs w:val="23"/>
                    </w:rPr>
                    <w:t>行业分析</w:t>
                  </w:r>
                </w:p>
                <w:p>
                  <w:pPr>
                    <w:pStyle w:val="15"/>
                    <w:widowControl/>
                    <w:ind w:firstLine="0" w:firstLineChars="0"/>
                    <w:rPr>
                      <w:rFonts w:cs="Calibri" w:eastAsiaTheme="minorEastAsia"/>
                      <w:bCs/>
                      <w:sz w:val="20"/>
                    </w:rPr>
                  </w:pPr>
                  <w:r>
                    <w:rPr>
                      <w:rFonts w:cs="Calibri" w:eastAsiaTheme="minorEastAsia"/>
                      <w:color w:val="000000"/>
                      <w:sz w:val="20"/>
                      <w:szCs w:val="20"/>
                    </w:rPr>
                    <w:t>本单元将主要介绍课程，并探讨战略的定义和基本概念。我们还将研究行业竞争分析，重点关注传统和新兴行业的框架分析。</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restart"/>
                  <w:tcBorders>
                    <w:top w:val="single" w:color="8EAADB" w:themeColor="accent1" w:themeTint="99" w:sz="4" w:space="0"/>
                    <w:left w:val="nil"/>
                    <w:right w:val="nil"/>
                  </w:tcBorders>
                  <w:shd w:val="clear" w:color="auto" w:fill="auto"/>
                  <w:vAlign w:val="center"/>
                </w:tcPr>
                <w:p>
                  <w:pPr>
                    <w:jc w:val="center"/>
                    <w:rPr>
                      <w:rFonts w:ascii="Calibri" w:hAnsi="Calibri" w:cs="Calibri"/>
                      <w:b/>
                      <w:bCs/>
                      <w:sz w:val="23"/>
                      <w:szCs w:val="23"/>
                    </w:rPr>
                  </w:pPr>
                  <w:r>
                    <w:rPr>
                      <w:rFonts w:ascii="Calibri" w:hAnsi="Calibri" w:cs="Calibri"/>
                      <w:b/>
                      <w:bCs/>
                      <w:sz w:val="23"/>
                      <w:szCs w:val="23"/>
                    </w:rPr>
                    <w:t>第二周</w:t>
                  </w: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2"/>
                    </w:rPr>
                  </w:pPr>
                  <w:r>
                    <w:rPr>
                      <w:rFonts w:ascii="Calibri" w:hAnsi="Calibri" w:cs="Calibri"/>
                      <w:b/>
                      <w:bCs/>
                      <w:sz w:val="22"/>
                    </w:rPr>
                    <w:t>在线研讨课</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continue"/>
                  <w:tcBorders>
                    <w:left w:val="nil"/>
                    <w:right w:val="nil"/>
                  </w:tcBorders>
                  <w:shd w:val="clear" w:color="auto" w:fill="auto"/>
                  <w:vAlign w:val="center"/>
                </w:tcPr>
                <w:p>
                  <w:pPr>
                    <w:jc w:val="center"/>
                    <w:rPr>
                      <w:rFonts w:ascii="Calibri" w:hAnsi="Calibri" w:cs="Calibri"/>
                      <w:b/>
                      <w:bCs/>
                      <w:sz w:val="23"/>
                      <w:szCs w:val="23"/>
                    </w:rPr>
                  </w:pP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sz w:val="20"/>
                      <w:szCs w:val="20"/>
                    </w:rPr>
                  </w:pPr>
                  <w:r>
                    <w:rPr>
                      <w:rFonts w:ascii="Calibri" w:hAnsi="Calibri" w:cs="Calibri"/>
                      <w:b/>
                      <w:bCs/>
                      <w:sz w:val="23"/>
                      <w:szCs w:val="23"/>
                    </w:rPr>
                    <w:t>专业课程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pStyle w:val="15"/>
                    <w:widowControl/>
                    <w:ind w:firstLine="0" w:firstLineChars="0"/>
                    <w:rPr>
                      <w:rFonts w:cs="Calibri" w:eastAsiaTheme="minorEastAsia"/>
                      <w:b/>
                      <w:bCs/>
                      <w:sz w:val="23"/>
                      <w:szCs w:val="23"/>
                    </w:rPr>
                  </w:pPr>
                  <w:r>
                    <w:rPr>
                      <w:rFonts w:cs="Calibri" w:eastAsiaTheme="minorEastAsia"/>
                      <w:b/>
                      <w:bCs/>
                      <w:sz w:val="23"/>
                      <w:szCs w:val="23"/>
                    </w:rPr>
                    <w:t>竞争优势的类型</w:t>
                  </w:r>
                </w:p>
                <w:p>
                  <w:pPr>
                    <w:rPr>
                      <w:rFonts w:ascii="Calibri" w:hAnsi="Calibri" w:cs="Calibri"/>
                      <w:color w:val="000000"/>
                      <w:sz w:val="20"/>
                      <w:szCs w:val="20"/>
                    </w:rPr>
                  </w:pPr>
                  <w:r>
                    <w:rPr>
                      <w:rFonts w:ascii="Calibri" w:hAnsi="Calibri" w:cs="Calibri"/>
                      <w:color w:val="000000"/>
                      <w:sz w:val="20"/>
                      <w:szCs w:val="20"/>
                    </w:rPr>
                    <w:t>本单元重点讨论在同一行业内基本战略的定义，定位和实施（成本领导和差异化）。</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restart"/>
                  <w:tcBorders>
                    <w:top w:val="single" w:color="8EAADB" w:themeColor="accent1" w:themeTint="99" w:sz="4" w:space="0"/>
                    <w:left w:val="nil"/>
                    <w:right w:val="nil"/>
                  </w:tcBorders>
                  <w:shd w:val="clear" w:color="auto" w:fill="auto"/>
                  <w:vAlign w:val="center"/>
                </w:tcPr>
                <w:p>
                  <w:pPr>
                    <w:jc w:val="center"/>
                    <w:rPr>
                      <w:rFonts w:ascii="Calibri" w:hAnsi="Calibri" w:cs="Calibri"/>
                      <w:b/>
                      <w:bCs/>
                      <w:sz w:val="23"/>
                      <w:szCs w:val="23"/>
                    </w:rPr>
                  </w:pPr>
                  <w:r>
                    <w:rPr>
                      <w:rFonts w:ascii="Calibri" w:hAnsi="Calibri" w:cs="Calibri"/>
                      <w:b/>
                      <w:bCs/>
                      <w:sz w:val="23"/>
                      <w:szCs w:val="23"/>
                    </w:rPr>
                    <w:t>第三周</w:t>
                  </w: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sz w:val="22"/>
                    </w:rPr>
                  </w:pPr>
                  <w:r>
                    <w:rPr>
                      <w:rFonts w:ascii="Calibri" w:hAnsi="Calibri" w:cs="Calibri"/>
                      <w:b/>
                      <w:bCs/>
                      <w:sz w:val="22"/>
                    </w:rPr>
                    <w:t>在线研讨课</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continue"/>
                  <w:tcBorders>
                    <w:left w:val="nil"/>
                    <w:right w:val="nil"/>
                  </w:tcBorders>
                  <w:shd w:val="clear" w:color="auto" w:fill="auto"/>
                  <w:vAlign w:val="center"/>
                </w:tcPr>
                <w:p>
                  <w:pPr>
                    <w:jc w:val="center"/>
                    <w:rPr>
                      <w:rFonts w:ascii="Calibri" w:hAnsi="Calibri" w:cs="Calibri"/>
                      <w:b/>
                      <w:bCs/>
                      <w:sz w:val="23"/>
                      <w:szCs w:val="23"/>
                    </w:rPr>
                  </w:pP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3"/>
                      <w:szCs w:val="23"/>
                    </w:rPr>
                  </w:pPr>
                  <w:r>
                    <w:rPr>
                      <w:rFonts w:ascii="Calibri" w:hAnsi="Calibri" w:cs="Calibri"/>
                      <w:b/>
                      <w:bCs/>
                      <w:sz w:val="23"/>
                      <w:szCs w:val="23"/>
                    </w:rPr>
                    <w:t>专业课程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b/>
                      <w:bCs/>
                      <w:sz w:val="23"/>
                      <w:szCs w:val="23"/>
                    </w:rPr>
                    <w:t>战略创新：蓝海战略</w:t>
                  </w:r>
                </w:p>
                <w:p>
                  <w:pPr>
                    <w:pStyle w:val="15"/>
                    <w:widowControl/>
                    <w:ind w:firstLine="0" w:firstLineChars="0"/>
                    <w:rPr>
                      <w:rFonts w:cs="Calibri" w:eastAsiaTheme="minorEastAsia"/>
                      <w:color w:val="000000"/>
                      <w:sz w:val="20"/>
                      <w:szCs w:val="20"/>
                    </w:rPr>
                  </w:pPr>
                  <w:r>
                    <w:rPr>
                      <w:rFonts w:cs="Calibri" w:eastAsiaTheme="minorEastAsia"/>
                      <w:color w:val="000000"/>
                      <w:sz w:val="20"/>
                      <w:szCs w:val="20"/>
                    </w:rPr>
                    <w:t>本单元介绍蓝海战略和价值画布的创新概念和框架。</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restart"/>
                  <w:tcBorders>
                    <w:top w:val="single" w:color="8EAADB" w:themeColor="accent1" w:themeTint="99" w:sz="4" w:space="0"/>
                    <w:left w:val="nil"/>
                    <w:right w:val="nil"/>
                  </w:tcBorders>
                  <w:shd w:val="clear" w:color="auto" w:fill="auto"/>
                  <w:vAlign w:val="center"/>
                </w:tcPr>
                <w:p>
                  <w:pPr>
                    <w:jc w:val="center"/>
                    <w:rPr>
                      <w:rFonts w:ascii="Calibri" w:hAnsi="Calibri" w:cs="Calibri"/>
                      <w:b/>
                      <w:bCs/>
                      <w:sz w:val="23"/>
                      <w:szCs w:val="23"/>
                    </w:rPr>
                  </w:pPr>
                  <w:r>
                    <w:rPr>
                      <w:rFonts w:ascii="Calibri" w:hAnsi="Calibri" w:cs="Calibri"/>
                      <w:b/>
                      <w:bCs/>
                      <w:sz w:val="23"/>
                      <w:szCs w:val="23"/>
                    </w:rPr>
                    <w:t>第四周</w:t>
                  </w: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2"/>
                    </w:rPr>
                  </w:pPr>
                  <w:r>
                    <w:rPr>
                      <w:rFonts w:ascii="Calibri" w:hAnsi="Calibri" w:cs="Calibri"/>
                      <w:b/>
                      <w:bCs/>
                      <w:sz w:val="22"/>
                    </w:rPr>
                    <w:t>在线研讨课</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pStyle w:val="15"/>
                    <w:widowControl/>
                    <w:ind w:firstLine="0" w:firstLineChars="0"/>
                    <w:rPr>
                      <w:rFonts w:cs="Calibri" w:eastAsiaTheme="minorEastAsia"/>
                      <w:b/>
                      <w:bCs/>
                      <w:sz w:val="23"/>
                      <w:szCs w:val="23"/>
                    </w:rPr>
                  </w:pPr>
                  <w:r>
                    <w:rPr>
                      <w:rFonts w:cs="Calibri" w:eastAsiaTheme="minorEastAsia"/>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continue"/>
                  <w:tcBorders>
                    <w:left w:val="nil"/>
                    <w:right w:val="nil"/>
                  </w:tcBorders>
                  <w:shd w:val="clear" w:color="auto" w:fill="auto"/>
                  <w:vAlign w:val="center"/>
                </w:tcPr>
                <w:p>
                  <w:pPr>
                    <w:jc w:val="center"/>
                    <w:rPr>
                      <w:rFonts w:ascii="Calibri" w:hAnsi="Calibri" w:cs="Calibri"/>
                      <w:b/>
                      <w:bCs/>
                      <w:sz w:val="23"/>
                      <w:szCs w:val="23"/>
                    </w:rPr>
                  </w:pP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3"/>
                      <w:szCs w:val="23"/>
                    </w:rPr>
                  </w:pPr>
                  <w:r>
                    <w:rPr>
                      <w:rFonts w:ascii="Calibri" w:hAnsi="Calibri" w:cs="Calibri"/>
                      <w:b/>
                      <w:bCs/>
                      <w:sz w:val="23"/>
                      <w:szCs w:val="23"/>
                    </w:rPr>
                    <w:t>专业课程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pStyle w:val="15"/>
                    <w:widowControl/>
                    <w:ind w:firstLine="0" w:firstLineChars="0"/>
                    <w:rPr>
                      <w:rFonts w:cs="Calibri" w:eastAsiaTheme="minorEastAsia"/>
                      <w:b/>
                      <w:bCs/>
                      <w:sz w:val="23"/>
                      <w:szCs w:val="23"/>
                    </w:rPr>
                  </w:pPr>
                  <w:r>
                    <w:rPr>
                      <w:rFonts w:cs="Calibri" w:eastAsiaTheme="minorEastAsia"/>
                      <w:b/>
                      <w:bCs/>
                      <w:sz w:val="23"/>
                      <w:szCs w:val="23"/>
                    </w:rPr>
                    <w:t>企业战略I：增长</w:t>
                  </w:r>
                </w:p>
                <w:p>
                  <w:pPr>
                    <w:rPr>
                      <w:rFonts w:ascii="Calibri" w:hAnsi="Calibri" w:cs="Calibri"/>
                      <w:color w:val="000000"/>
                      <w:sz w:val="20"/>
                      <w:szCs w:val="20"/>
                    </w:rPr>
                  </w:pPr>
                  <w:r>
                    <w:rPr>
                      <w:rFonts w:ascii="Calibri" w:hAnsi="Calibri" w:cs="Calibri"/>
                      <w:color w:val="000000"/>
                      <w:sz w:val="20"/>
                      <w:szCs w:val="20"/>
                    </w:rPr>
                    <w:t>本单元探讨了公司如何选择增长战略并在不同业务中创造价值</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restart"/>
                  <w:tcBorders>
                    <w:left w:val="nil"/>
                    <w:right w:val="nil"/>
                  </w:tcBorders>
                  <w:shd w:val="clear" w:color="auto" w:fill="auto"/>
                  <w:vAlign w:val="center"/>
                </w:tcPr>
                <w:p>
                  <w:pPr>
                    <w:jc w:val="center"/>
                    <w:rPr>
                      <w:rFonts w:ascii="Calibri" w:hAnsi="Calibri" w:cs="Calibri"/>
                      <w:b/>
                      <w:bCs/>
                      <w:sz w:val="23"/>
                      <w:szCs w:val="23"/>
                    </w:rPr>
                  </w:pPr>
                  <w:r>
                    <w:rPr>
                      <w:rFonts w:ascii="Calibri" w:hAnsi="Calibri" w:cs="Calibri"/>
                      <w:b/>
                      <w:bCs/>
                      <w:sz w:val="23"/>
                      <w:szCs w:val="23"/>
                    </w:rPr>
                    <w:t>第五周</w:t>
                  </w: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2"/>
                    </w:rPr>
                  </w:pPr>
                  <w:r>
                    <w:rPr>
                      <w:rFonts w:ascii="Calibri" w:hAnsi="Calibri" w:cs="Calibri"/>
                      <w:b/>
                      <w:bCs/>
                      <w:sz w:val="22"/>
                    </w:rPr>
                    <w:t>在线研讨课</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pStyle w:val="15"/>
                    <w:widowControl/>
                    <w:ind w:firstLine="0" w:firstLineChars="0"/>
                    <w:rPr>
                      <w:rFonts w:cs="Calibri" w:eastAsiaTheme="minorEastAsia"/>
                      <w:b/>
                      <w:bCs/>
                      <w:sz w:val="23"/>
                      <w:szCs w:val="23"/>
                    </w:rPr>
                  </w:pPr>
                  <w:r>
                    <w:rPr>
                      <w:rFonts w:cs="Calibri" w:eastAsiaTheme="minorEastAsia"/>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continue"/>
                  <w:tcBorders>
                    <w:left w:val="nil"/>
                    <w:right w:val="nil"/>
                  </w:tcBorders>
                  <w:shd w:val="clear" w:color="auto" w:fill="auto"/>
                  <w:vAlign w:val="center"/>
                </w:tcPr>
                <w:p>
                  <w:pPr>
                    <w:jc w:val="center"/>
                    <w:rPr>
                      <w:rFonts w:ascii="Calibri" w:hAnsi="Calibri" w:cs="Calibri"/>
                      <w:b/>
                      <w:bCs/>
                      <w:sz w:val="23"/>
                      <w:szCs w:val="23"/>
                    </w:rPr>
                  </w:pP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3"/>
                      <w:szCs w:val="23"/>
                    </w:rPr>
                  </w:pPr>
                  <w:r>
                    <w:rPr>
                      <w:rFonts w:ascii="Calibri" w:hAnsi="Calibri" w:cs="Calibri"/>
                      <w:b/>
                      <w:bCs/>
                      <w:sz w:val="23"/>
                      <w:szCs w:val="23"/>
                    </w:rPr>
                    <w:t>专业课程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b/>
                      <w:bCs/>
                      <w:sz w:val="23"/>
                      <w:szCs w:val="23"/>
                    </w:rPr>
                    <w:t>战略转变：企业如何成功地改变其战略？</w:t>
                  </w:r>
                </w:p>
                <w:p>
                  <w:pPr>
                    <w:rPr>
                      <w:rFonts w:ascii="Calibri" w:hAnsi="Calibri" w:cs="Calibri"/>
                      <w:color w:val="000000"/>
                      <w:sz w:val="20"/>
                      <w:szCs w:val="20"/>
                    </w:rPr>
                  </w:pPr>
                  <w:r>
                    <w:rPr>
                      <w:rFonts w:ascii="Calibri" w:hAnsi="Calibri" w:cs="Calibri"/>
                      <w:color w:val="000000"/>
                      <w:sz w:val="20"/>
                      <w:szCs w:val="20"/>
                    </w:rPr>
                    <w:t>本单元探讨了企业如何努力摆脱下降的高峰以及战略变革的挑战。</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restart"/>
                  <w:tcBorders>
                    <w:left w:val="nil"/>
                    <w:right w:val="nil"/>
                  </w:tcBorders>
                  <w:shd w:val="clear" w:color="auto" w:fill="auto"/>
                  <w:vAlign w:val="center"/>
                </w:tcPr>
                <w:p>
                  <w:pPr>
                    <w:jc w:val="center"/>
                    <w:rPr>
                      <w:rFonts w:ascii="Calibri" w:hAnsi="Calibri" w:cs="Calibri"/>
                      <w:b/>
                      <w:bCs/>
                      <w:sz w:val="23"/>
                      <w:szCs w:val="23"/>
                    </w:rPr>
                  </w:pPr>
                  <w:r>
                    <w:rPr>
                      <w:rFonts w:ascii="Calibri" w:hAnsi="Calibri" w:cs="Calibri"/>
                      <w:b/>
                      <w:bCs/>
                      <w:sz w:val="23"/>
                      <w:szCs w:val="23"/>
                    </w:rPr>
                    <w:t>第六周</w:t>
                  </w: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2"/>
                    </w:rPr>
                  </w:pPr>
                  <w:r>
                    <w:rPr>
                      <w:rFonts w:ascii="Calibri" w:hAnsi="Calibri" w:cs="Calibri"/>
                      <w:b/>
                      <w:bCs/>
                      <w:sz w:val="22"/>
                    </w:rPr>
                    <w:t>在线研讨课</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continue"/>
                  <w:tcBorders>
                    <w:left w:val="nil"/>
                    <w:right w:val="nil"/>
                  </w:tcBorders>
                  <w:shd w:val="clear" w:color="auto" w:fill="auto"/>
                  <w:vAlign w:val="center"/>
                </w:tcPr>
                <w:p>
                  <w:pPr>
                    <w:jc w:val="center"/>
                    <w:rPr>
                      <w:rFonts w:ascii="Calibri" w:hAnsi="Calibri" w:cs="Calibri"/>
                      <w:b/>
                      <w:bCs/>
                      <w:sz w:val="23"/>
                      <w:szCs w:val="23"/>
                    </w:rPr>
                  </w:pP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3"/>
                      <w:szCs w:val="23"/>
                    </w:rPr>
                  </w:pPr>
                  <w:r>
                    <w:rPr>
                      <w:rFonts w:ascii="Calibri" w:hAnsi="Calibri" w:cs="Calibri"/>
                      <w:b/>
                      <w:bCs/>
                      <w:sz w:val="23"/>
                      <w:szCs w:val="23"/>
                    </w:rPr>
                    <w:t>专业课程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b/>
                      <w:bCs/>
                      <w:sz w:val="23"/>
                      <w:szCs w:val="23"/>
                    </w:rPr>
                    <w:t>企业战略II：获取新资源</w:t>
                  </w:r>
                </w:p>
                <w:p>
                  <w:pPr>
                    <w:rPr>
                      <w:rFonts w:ascii="Calibri" w:hAnsi="Calibri" w:cs="Calibri"/>
                      <w:color w:val="000000"/>
                      <w:sz w:val="20"/>
                      <w:szCs w:val="20"/>
                    </w:rPr>
                  </w:pPr>
                  <w:r>
                    <w:rPr>
                      <w:rFonts w:ascii="Calibri" w:hAnsi="Calibri" w:cs="Calibri"/>
                      <w:color w:val="000000"/>
                      <w:sz w:val="20"/>
                      <w:szCs w:val="20"/>
                    </w:rPr>
                    <w:t>本单元探讨了访问新资源的不同方法，重点是“构建，借用，购买”框架。</w:t>
                  </w:r>
                </w:p>
                <w:p>
                  <w:pPr>
                    <w:rPr>
                      <w:rFonts w:ascii="Calibri" w:hAnsi="Calibri" w:cs="Calibri"/>
                      <w:b/>
                      <w:bCs/>
                      <w:sz w:val="23"/>
                      <w:szCs w:val="23"/>
                    </w:rPr>
                  </w:pPr>
                  <w:r>
                    <w:rPr>
                      <w:rFonts w:ascii="Calibri" w:hAnsi="Calibri" w:cs="Calibri"/>
                      <w:b/>
                      <w:bCs/>
                      <w:sz w:val="23"/>
                      <w:szCs w:val="23"/>
                    </w:rPr>
                    <w:t>小组结业汇报展示&amp;项目结业仪式</w:t>
                  </w:r>
                </w:p>
              </w:tc>
            </w:tr>
          </w:tbl>
          <w:p>
            <w:pPr>
              <w:widowControl/>
              <w:jc w:val="left"/>
              <w:rPr>
                <w:rFonts w:ascii="Calibri" w:hAnsi="Calibri" w:cs="Calibri" w:eastAsiaTheme="minorHAnsi"/>
                <w:sz w:val="20"/>
                <w:szCs w:val="20"/>
              </w:rPr>
            </w:pPr>
            <w:r>
              <w:rPr>
                <w:rFonts w:ascii="Calibri" w:hAnsi="Calibri" w:cs="Calibri"/>
                <w:sz w:val="20"/>
                <w:szCs w:val="20"/>
              </w:rPr>
              <w:t>注：以上课程时间安排为拟定，具体安排视情况会略有调整</w:t>
            </w:r>
          </w:p>
        </w:tc>
      </w:tr>
    </w:tbl>
    <w:p>
      <w:pPr>
        <w:widowControl/>
        <w:jc w:val="left"/>
        <w:rPr>
          <w:rFonts w:ascii="Calibri" w:hAnsi="Calibri" w:cs="Calibri"/>
        </w:rPr>
      </w:pP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658"/>
        <w:gridCol w:w="96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319" w:type="pct"/>
            <w:shd w:val="clear" w:color="auto" w:fill="0071BC"/>
            <w:tcMar>
              <w:top w:w="0" w:type="dxa"/>
              <w:bottom w:w="0" w:type="dxa"/>
            </w:tcMar>
            <w:vAlign w:val="center"/>
          </w:tcPr>
          <w:p>
            <w:pP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eastAsiaTheme="minorHAnsi"/>
                <w:b/>
                <w:bCs/>
                <w:color w:val="FFFFFF" w:themeColor="background1"/>
                <w:sz w:val="32"/>
                <w:szCs w:val="32"/>
                <w14:textFill>
                  <w14:solidFill>
                    <w14:schemeClr w14:val="bg1"/>
                  </w14:solidFill>
                </w14:textFill>
              </w:rPr>
              <w:drawing>
                <wp:inline distT="0" distB="0" distL="0" distR="0">
                  <wp:extent cx="287655" cy="287655"/>
                  <wp:effectExtent l="0" t="0" r="0" b="0"/>
                  <wp:docPr id="5" name="图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形 5"/>
                          <pic:cNvPicPr>
                            <a:picLocks noChangeAspect="1"/>
                          </pic:cNvPicPr>
                        </pic:nvPicPr>
                        <pic:blipFill>
                          <a:blip r:embed="rId19" cstate="print">
                            <a:extLst>
                              <a:ext uri="{96DAC541-7B7A-43D3-8B79-37D633B846F1}">
                                <asvg:svgBlip xmlns:asvg="http://schemas.microsoft.com/office/drawing/2016/SVG/main" r:embed="rId16"/>
                              </a:ext>
                            </a:extLst>
                          </a:blip>
                          <a:stretch>
                            <a:fillRect/>
                          </a:stretch>
                        </pic:blipFill>
                        <pic:spPr>
                          <a:xfrm>
                            <a:off x="0" y="0"/>
                            <a:ext cx="288000" cy="288000"/>
                          </a:xfrm>
                          <a:prstGeom prst="rect">
                            <a:avLst/>
                          </a:prstGeom>
                        </pic:spPr>
                      </pic:pic>
                    </a:graphicData>
                  </a:graphic>
                </wp:inline>
              </w:drawing>
            </w:r>
          </w:p>
        </w:tc>
        <w:tc>
          <w:tcPr>
            <w:tcW w:w="4681" w:type="pct"/>
            <w:shd w:val="clear" w:color="auto" w:fill="0071BC"/>
          </w:tcPr>
          <w:p>
            <w:pP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eastAsiaTheme="minorHAnsi"/>
                <w:b/>
                <w:bCs/>
                <w:color w:val="FFFFFF"/>
                <w:sz w:val="32"/>
                <w:szCs w:val="32"/>
              </w:rPr>
              <w:t>课程主题3：</w:t>
            </w:r>
            <w:r>
              <w:rPr>
                <w:rFonts w:ascii="Calibri" w:hAnsi="Calibri" w:cs="Calibri"/>
                <w:b/>
                <w:bCs/>
                <w:color w:val="FFFFFF"/>
                <w:sz w:val="32"/>
                <w:szCs w:val="32"/>
              </w:rPr>
              <w:t>人文学与西方文化</w:t>
            </w:r>
          </w:p>
        </w:tc>
      </w:tr>
    </w:tbl>
    <w:p>
      <w:pPr>
        <w:rPr>
          <w:rFonts w:ascii="Calibri" w:hAnsi="Calibri" w:cs="Calibri"/>
        </w:rPr>
      </w:pPr>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751"/>
        <w:gridCol w:w="1519"/>
        <w:gridCol w:w="80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364" w:type="pct"/>
            <w:tcBorders>
              <w:bottom w:val="single" w:color="0071BC" w:sz="12" w:space="0"/>
            </w:tcBorders>
            <w:shd w:val="clear" w:color="auto" w:fill="0071BC"/>
            <w:tcMar>
              <w:top w:w="0" w:type="dxa"/>
              <w:bottom w:w="0" w:type="dxa"/>
            </w:tcMar>
            <w:vAlign w:val="center"/>
          </w:tcPr>
          <w:p>
            <w:pPr>
              <w:jc w:val="cente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rPr>
              <w:drawing>
                <wp:inline distT="0" distB="0" distL="0" distR="0">
                  <wp:extent cx="287655" cy="287655"/>
                  <wp:effectExtent l="0" t="0" r="0" b="0"/>
                  <wp:docPr id="32" name="图形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形 16"/>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87655" cy="287655"/>
                          </a:xfrm>
                          <a:prstGeom prst="rect">
                            <a:avLst/>
                          </a:prstGeom>
                        </pic:spPr>
                      </pic:pic>
                    </a:graphicData>
                  </a:graphic>
                </wp:inline>
              </w:drawing>
            </w:r>
          </w:p>
        </w:tc>
        <w:tc>
          <w:tcPr>
            <w:tcW w:w="736" w:type="pct"/>
            <w:tcBorders>
              <w:bottom w:val="single" w:color="0071BC" w:sz="12" w:space="0"/>
            </w:tcBorders>
            <w:shd w:val="clear" w:color="auto" w:fill="0071BC"/>
            <w:tcMar>
              <w:top w:w="0" w:type="dxa"/>
              <w:bottom w:w="0" w:type="dxa"/>
            </w:tcMar>
            <w:vAlign w:val="center"/>
          </w:tcPr>
          <w:p>
            <w:pP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eastAsiaTheme="minorHAnsi"/>
                <w:b/>
                <w:bCs/>
                <w:color w:val="FFFFFF"/>
                <w:sz w:val="32"/>
                <w:szCs w:val="32"/>
              </w:rPr>
              <w:t>课程概览</w:t>
            </w:r>
          </w:p>
        </w:tc>
        <w:tc>
          <w:tcPr>
            <w:tcW w:w="3900" w:type="pct"/>
            <w:tcBorders>
              <w:bottom w:val="single" w:color="0071BC" w:sz="12" w:space="0"/>
            </w:tcBorders>
            <w:tcMar>
              <w:top w:w="0" w:type="dxa"/>
              <w:bottom w:w="0" w:type="dxa"/>
            </w:tcMar>
          </w:tcPr>
          <w:p>
            <w:pPr>
              <w:rPr>
                <w:rFonts w:ascii="Calibri" w:hAnsi="Calibri" w:cs="Calibri"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p>
            <w:pPr>
              <w:spacing w:line="180" w:lineRule="exact"/>
              <w:rPr>
                <w:rFonts w:ascii="Calibri" w:hAnsi="Calibri" w:cs="Calibri"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p>
            <w:pPr>
              <w:spacing w:line="276" w:lineRule="auto"/>
              <w:rPr>
                <w:rFonts w:ascii="Calibri" w:hAnsi="Calibri" w:cs="Calibri" w:eastAsiaTheme="minorHAnsi"/>
                <w:sz w:val="23"/>
                <w:szCs w:val="23"/>
              </w:rPr>
            </w:pPr>
            <w:r>
              <w:rPr>
                <w:rFonts w:ascii="Calibri" w:hAnsi="Calibri" w:cs="Calibri" w:eastAsiaTheme="minorHAnsi"/>
                <w:sz w:val="23"/>
              </w:rPr>
              <w:t>英国君主制在变化和危机中幸存了数百年，仍然是英国的重要组成部分。而英国文化的发展，离不开文学与诗歌的身影。本课程通过学习莎士比亚的戏剧与诗歌，来剖析英国社会和文化的变迁，学生将在课程过程中学习现代早期英国社会的文化与艺术，了解英国历史与居住，感受语言与文学的发展。同时，每周的阅读课，学生们还将通过阅读莎士比亚名著，来了解政治、种族、宗教、性别等重要部分在历史变迁的进程中的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tcPr>
          <w:p>
            <w:pPr>
              <w:spacing w:line="180" w:lineRule="exact"/>
              <w:rPr>
                <w:rFonts w:ascii="Calibri" w:hAnsi="Calibri" w:cs="Calibri" w:eastAsiaTheme="minorHAnsi"/>
                <w:b/>
                <w:bCs/>
                <w:color w:val="0071BC"/>
                <w:sz w:val="28"/>
                <w:szCs w:val="28"/>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364" w:type="pct"/>
            <w:tcBorders>
              <w:bottom w:val="single" w:color="0071BC" w:sz="12" w:space="0"/>
            </w:tcBorders>
            <w:shd w:val="clear" w:color="auto" w:fill="0071BC"/>
            <w:tcMar>
              <w:top w:w="0" w:type="dxa"/>
              <w:bottom w:w="0" w:type="dxa"/>
            </w:tcMar>
            <w:vAlign w:val="center"/>
          </w:tcPr>
          <w:p>
            <w:pPr>
              <w:jc w:val="cente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rPr>
              <w:drawing>
                <wp:inline distT="0" distB="0" distL="0" distR="0">
                  <wp:extent cx="287655" cy="287655"/>
                  <wp:effectExtent l="0" t="0" r="0" b="0"/>
                  <wp:docPr id="33" name="图形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形 17"/>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87655" cy="287655"/>
                          </a:xfrm>
                          <a:prstGeom prst="rect">
                            <a:avLst/>
                          </a:prstGeom>
                        </pic:spPr>
                      </pic:pic>
                    </a:graphicData>
                  </a:graphic>
                </wp:inline>
              </w:drawing>
            </w:r>
          </w:p>
        </w:tc>
        <w:tc>
          <w:tcPr>
            <w:tcW w:w="736" w:type="pct"/>
            <w:tcBorders>
              <w:bottom w:val="single" w:color="0071BC" w:sz="12" w:space="0"/>
            </w:tcBorders>
            <w:shd w:val="clear" w:color="auto" w:fill="0071BC"/>
            <w:tcMar>
              <w:top w:w="0" w:type="dxa"/>
              <w:bottom w:w="0" w:type="dxa"/>
            </w:tcMar>
            <w:vAlign w:val="center"/>
          </w:tcPr>
          <w:p>
            <w:pP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eastAsiaTheme="minorHAnsi"/>
                <w:b/>
                <w:bCs/>
                <w:color w:val="FFFFFF"/>
                <w:sz w:val="32"/>
                <w:szCs w:val="32"/>
              </w:rPr>
              <w:t>课程结构</w:t>
            </w:r>
          </w:p>
        </w:tc>
        <w:tc>
          <w:tcPr>
            <w:tcW w:w="3900" w:type="pct"/>
            <w:tcBorders>
              <w:bottom w:val="single" w:color="0071BC" w:sz="12" w:space="0"/>
            </w:tcBorders>
            <w:tcMar>
              <w:top w:w="0" w:type="dxa"/>
              <w:bottom w:w="0" w:type="dxa"/>
            </w:tcMar>
          </w:tcPr>
          <w:p>
            <w:pPr>
              <w:rPr>
                <w:rFonts w:ascii="Calibri" w:hAnsi="Calibri" w:cs="Calibri"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p>
            <w:pPr>
              <w:spacing w:line="180" w:lineRule="exact"/>
              <w:rPr>
                <w:rFonts w:ascii="Calibri" w:hAnsi="Calibri" w:cs="Calibri"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tbl>
            <w:tblPr>
              <w:tblStyle w:val="7"/>
              <w:tblW w:w="5000" w:type="pct"/>
              <w:tblInd w:w="0" w:type="dxa"/>
              <w:tblBorders>
                <w:top w:val="none" w:color="auto" w:sz="0" w:space="0"/>
                <w:left w:val="none" w:color="auto" w:sz="0" w:space="0"/>
                <w:bottom w:val="single" w:color="A7D1F5" w:sz="6" w:space="0"/>
                <w:right w:val="none" w:color="auto" w:sz="0" w:space="0"/>
                <w:insideH w:val="single" w:color="A7D1F5" w:sz="6" w:space="0"/>
                <w:insideV w:val="none" w:color="auto" w:sz="0" w:space="0"/>
              </w:tblBorders>
              <w:tblLayout w:type="autofit"/>
              <w:tblCellMar>
                <w:top w:w="57" w:type="dxa"/>
                <w:left w:w="57" w:type="dxa"/>
                <w:bottom w:w="57" w:type="dxa"/>
                <w:right w:w="57" w:type="dxa"/>
              </w:tblCellMar>
            </w:tblPr>
            <w:tblGrid>
              <w:gridCol w:w="1186"/>
              <w:gridCol w:w="1792"/>
              <w:gridCol w:w="7226"/>
            </w:tblGrid>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tcBorders>
                    <w:top w:val="nil"/>
                    <w:left w:val="nil"/>
                    <w:bottom w:val="nil"/>
                    <w:right w:val="nil"/>
                  </w:tcBorders>
                  <w:shd w:val="clear" w:color="auto" w:fill="BDD6EE" w:themeFill="accent5" w:themeFillTint="66"/>
                  <w:vAlign w:val="center"/>
                </w:tcPr>
                <w:p>
                  <w:pPr>
                    <w:jc w:val="center"/>
                    <w:rPr>
                      <w:rFonts w:ascii="Calibri" w:hAnsi="Calibri" w:cs="Calibri"/>
                      <w:b/>
                      <w:bCs/>
                      <w:sz w:val="23"/>
                      <w:szCs w:val="23"/>
                    </w:rPr>
                  </w:pPr>
                  <w:r>
                    <w:rPr>
                      <w:rFonts w:ascii="Calibri" w:hAnsi="Calibri" w:cs="Calibri"/>
                      <w:b/>
                      <w:bCs/>
                      <w:sz w:val="23"/>
                      <w:szCs w:val="23"/>
                    </w:rPr>
                    <w:t>#</w:t>
                  </w:r>
                </w:p>
              </w:tc>
              <w:tc>
                <w:tcPr>
                  <w:tcW w:w="878" w:type="pct"/>
                  <w:tcBorders>
                    <w:top w:val="nil"/>
                    <w:left w:val="nil"/>
                    <w:bottom w:val="nil"/>
                    <w:right w:val="nil"/>
                  </w:tcBorders>
                  <w:shd w:val="clear" w:color="auto" w:fill="BDD6EE" w:themeFill="accent5" w:themeFillTint="66"/>
                  <w:vAlign w:val="center"/>
                </w:tcPr>
                <w:p>
                  <w:pPr>
                    <w:jc w:val="center"/>
                    <w:rPr>
                      <w:rFonts w:ascii="Calibri" w:hAnsi="Calibri" w:cs="Calibri"/>
                      <w:b/>
                      <w:bCs/>
                      <w:sz w:val="23"/>
                      <w:szCs w:val="23"/>
                    </w:rPr>
                  </w:pPr>
                  <w:r>
                    <w:rPr>
                      <w:rFonts w:ascii="Calibri" w:hAnsi="Calibri" w:cs="Calibri"/>
                      <w:b/>
                      <w:bCs/>
                      <w:sz w:val="23"/>
                      <w:szCs w:val="23"/>
                    </w:rPr>
                    <w:t>内容</w:t>
                  </w:r>
                </w:p>
              </w:tc>
              <w:tc>
                <w:tcPr>
                  <w:tcW w:w="3541" w:type="pct"/>
                  <w:tcBorders>
                    <w:top w:val="nil"/>
                    <w:left w:val="nil"/>
                    <w:bottom w:val="nil"/>
                    <w:right w:val="nil"/>
                  </w:tcBorders>
                  <w:shd w:val="clear" w:color="auto" w:fill="BDD6EE" w:themeFill="accent5" w:themeFillTint="66"/>
                  <w:vAlign w:val="center"/>
                </w:tcPr>
                <w:p>
                  <w:pPr>
                    <w:jc w:val="center"/>
                    <w:rPr>
                      <w:rFonts w:ascii="Calibri" w:hAnsi="Calibri" w:cs="Calibri"/>
                      <w:b/>
                      <w:bCs/>
                      <w:sz w:val="23"/>
                      <w:szCs w:val="23"/>
                    </w:rPr>
                  </w:pPr>
                  <w:r>
                    <w:rPr>
                      <w:rFonts w:ascii="Calibri" w:hAnsi="Calibri" w:cs="Calibri"/>
                      <w:b/>
                      <w:bCs/>
                      <w:sz w:val="23"/>
                      <w:szCs w:val="23"/>
                    </w:rPr>
                    <w:t>课程大纲</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tcBorders>
                    <w:top w:val="nil"/>
                    <w:left w:val="nil"/>
                    <w:right w:val="nil"/>
                  </w:tcBorders>
                  <w:shd w:val="clear" w:color="auto" w:fill="auto"/>
                  <w:vAlign w:val="center"/>
                </w:tcPr>
                <w:p>
                  <w:pPr>
                    <w:jc w:val="center"/>
                    <w:rPr>
                      <w:rFonts w:ascii="Calibri" w:hAnsi="Calibri" w:cs="Calibri"/>
                      <w:b/>
                      <w:bCs/>
                      <w:sz w:val="23"/>
                      <w:szCs w:val="23"/>
                    </w:rPr>
                  </w:pPr>
                  <w:r>
                    <w:rPr>
                      <w:rFonts w:ascii="Calibri" w:hAnsi="Calibri" w:cs="Calibri"/>
                      <w:b/>
                      <w:bCs/>
                      <w:sz w:val="23"/>
                      <w:szCs w:val="23"/>
                    </w:rPr>
                    <w:t>第一周</w:t>
                  </w:r>
                </w:p>
              </w:tc>
              <w:tc>
                <w:tcPr>
                  <w:tcW w:w="878" w:type="pct"/>
                  <w:tcBorders>
                    <w:top w:val="nil"/>
                    <w:left w:val="nil"/>
                    <w:bottom w:val="single" w:color="8EAADB" w:themeColor="accent1" w:themeTint="99" w:sz="4" w:space="0"/>
                    <w:right w:val="nil"/>
                  </w:tcBorders>
                  <w:vAlign w:val="center"/>
                </w:tcPr>
                <w:p>
                  <w:pPr>
                    <w:jc w:val="center"/>
                    <w:rPr>
                      <w:rFonts w:ascii="Calibri" w:hAnsi="Calibri" w:cs="Calibri"/>
                      <w:sz w:val="23"/>
                      <w:szCs w:val="23"/>
                    </w:rPr>
                  </w:pPr>
                  <w:r>
                    <w:rPr>
                      <w:rFonts w:ascii="Calibri" w:hAnsi="Calibri" w:cs="Calibri"/>
                      <w:b/>
                      <w:bCs/>
                      <w:sz w:val="23"/>
                      <w:szCs w:val="23"/>
                    </w:rPr>
                    <w:t>专业课程</w:t>
                  </w:r>
                </w:p>
              </w:tc>
              <w:tc>
                <w:tcPr>
                  <w:tcW w:w="3541" w:type="pct"/>
                  <w:tcBorders>
                    <w:top w:val="nil"/>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b/>
                      <w:bCs/>
                      <w:sz w:val="23"/>
                      <w:szCs w:val="23"/>
                    </w:rPr>
                    <w:t>项目导览&amp;欢迎致辞</w:t>
                  </w:r>
                </w:p>
                <w:p>
                  <w:pPr>
                    <w:pStyle w:val="15"/>
                    <w:widowControl/>
                    <w:ind w:firstLine="0" w:firstLineChars="0"/>
                    <w:rPr>
                      <w:rFonts w:cs="Calibri" w:eastAsiaTheme="minorEastAsia"/>
                      <w:b/>
                      <w:bCs/>
                      <w:sz w:val="23"/>
                      <w:szCs w:val="23"/>
                    </w:rPr>
                  </w:pPr>
                  <w:r>
                    <w:rPr>
                      <w:rFonts w:cs="Calibri" w:eastAsiaTheme="minorEastAsia"/>
                      <w:b/>
                      <w:bCs/>
                      <w:sz w:val="23"/>
                      <w:szCs w:val="23"/>
                    </w:rPr>
                    <w:t>现代早期英国社会</w:t>
                  </w:r>
                </w:p>
                <w:p>
                  <w:pPr>
                    <w:rPr>
                      <w:rFonts w:ascii="Calibri" w:hAnsi="Calibri" w:cs="Calibri"/>
                      <w:sz w:val="23"/>
                      <w:szCs w:val="23"/>
                    </w:rPr>
                  </w:pPr>
                  <w:r>
                    <w:rPr>
                      <w:rFonts w:ascii="Calibri" w:hAnsi="Calibri" w:cs="Calibri"/>
                      <w:sz w:val="23"/>
                      <w:szCs w:val="23"/>
                    </w:rPr>
                    <w:t>Early modern England</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restart"/>
                  <w:tcBorders>
                    <w:top w:val="single" w:color="8EAADB" w:themeColor="accent1" w:themeTint="99" w:sz="4" w:space="0"/>
                    <w:left w:val="nil"/>
                    <w:right w:val="nil"/>
                  </w:tcBorders>
                  <w:shd w:val="clear" w:color="auto" w:fill="auto"/>
                  <w:vAlign w:val="center"/>
                </w:tcPr>
                <w:p>
                  <w:pPr>
                    <w:jc w:val="center"/>
                    <w:rPr>
                      <w:rFonts w:ascii="Calibri" w:hAnsi="Calibri" w:cs="Calibri"/>
                      <w:b/>
                      <w:bCs/>
                      <w:sz w:val="23"/>
                      <w:szCs w:val="23"/>
                    </w:rPr>
                  </w:pPr>
                  <w:r>
                    <w:rPr>
                      <w:rFonts w:ascii="Calibri" w:hAnsi="Calibri" w:cs="Calibri"/>
                      <w:b/>
                      <w:bCs/>
                      <w:sz w:val="23"/>
                      <w:szCs w:val="23"/>
                    </w:rPr>
                    <w:t>第二周</w:t>
                  </w: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sz w:val="23"/>
                      <w:szCs w:val="23"/>
                    </w:rPr>
                  </w:pPr>
                  <w:r>
                    <w:rPr>
                      <w:rFonts w:ascii="Calibri" w:hAnsi="Calibri" w:cs="Calibri"/>
                      <w:b/>
                      <w:bCs/>
                      <w:sz w:val="23"/>
                      <w:szCs w:val="23"/>
                    </w:rPr>
                    <w:t>阅读课程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b/>
                      <w:bCs/>
                      <w:sz w:val="23"/>
                      <w:szCs w:val="23"/>
                    </w:rPr>
                    <w:t>凯撒与政治</w:t>
                  </w:r>
                </w:p>
                <w:p>
                  <w:pPr>
                    <w:rPr>
                      <w:rFonts w:ascii="Calibri" w:hAnsi="Calibri" w:cs="Calibri"/>
                      <w:b/>
                      <w:bCs/>
                      <w:sz w:val="23"/>
                      <w:szCs w:val="23"/>
                    </w:rPr>
                  </w:pPr>
                  <w:r>
                    <w:rPr>
                      <w:rFonts w:ascii="Calibri" w:hAnsi="Calibri" w:cs="Calibri"/>
                      <w:sz w:val="23"/>
                      <w:szCs w:val="23"/>
                    </w:rPr>
                    <w:t>Julius Caesar and politics</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continue"/>
                  <w:tcBorders>
                    <w:left w:val="nil"/>
                    <w:right w:val="nil"/>
                  </w:tcBorders>
                  <w:shd w:val="clear" w:color="auto" w:fill="auto"/>
                  <w:vAlign w:val="center"/>
                </w:tcPr>
                <w:p>
                  <w:pPr>
                    <w:jc w:val="center"/>
                    <w:rPr>
                      <w:rFonts w:ascii="Calibri" w:hAnsi="Calibri" w:cs="Calibri"/>
                      <w:b/>
                      <w:bCs/>
                      <w:sz w:val="23"/>
                      <w:szCs w:val="23"/>
                    </w:rPr>
                  </w:pP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sz w:val="20"/>
                      <w:szCs w:val="20"/>
                    </w:rPr>
                  </w:pPr>
                  <w:r>
                    <w:rPr>
                      <w:rFonts w:ascii="Calibri" w:hAnsi="Calibri" w:cs="Calibri"/>
                      <w:b/>
                      <w:bCs/>
                      <w:sz w:val="23"/>
                      <w:szCs w:val="23"/>
                    </w:rPr>
                    <w:t>专业课程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2"/>
                    </w:rPr>
                  </w:pPr>
                  <w:r>
                    <w:rPr>
                      <w:rFonts w:ascii="Calibri" w:hAnsi="Calibri" w:cs="Calibri"/>
                      <w:b/>
                      <w:bCs/>
                      <w:sz w:val="22"/>
                    </w:rPr>
                    <w:t>莎士比亚的戏剧</w:t>
                  </w:r>
                </w:p>
                <w:p>
                  <w:pPr>
                    <w:rPr>
                      <w:rFonts w:ascii="Calibri" w:hAnsi="Calibri" w:cs="Calibri"/>
                      <w:sz w:val="20"/>
                      <w:szCs w:val="20"/>
                    </w:rPr>
                  </w:pPr>
                  <w:r>
                    <w:rPr>
                      <w:rFonts w:ascii="Calibri" w:hAnsi="Calibri" w:cs="Calibri"/>
                      <w:sz w:val="23"/>
                      <w:szCs w:val="23"/>
                    </w:rPr>
                    <w:t>Shakespeare's plays in his lifetime</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restart"/>
                  <w:tcBorders>
                    <w:top w:val="single" w:color="8EAADB" w:themeColor="accent1" w:themeTint="99" w:sz="4" w:space="0"/>
                    <w:left w:val="nil"/>
                    <w:right w:val="nil"/>
                  </w:tcBorders>
                  <w:shd w:val="clear" w:color="auto" w:fill="auto"/>
                  <w:vAlign w:val="center"/>
                </w:tcPr>
                <w:p>
                  <w:pPr>
                    <w:jc w:val="center"/>
                    <w:rPr>
                      <w:rFonts w:ascii="Calibri" w:hAnsi="Calibri" w:cs="Calibri"/>
                      <w:b/>
                      <w:bCs/>
                      <w:sz w:val="23"/>
                      <w:szCs w:val="23"/>
                    </w:rPr>
                  </w:pPr>
                  <w:r>
                    <w:rPr>
                      <w:rFonts w:ascii="Calibri" w:hAnsi="Calibri" w:cs="Calibri"/>
                      <w:b/>
                      <w:bCs/>
                      <w:sz w:val="23"/>
                      <w:szCs w:val="23"/>
                    </w:rPr>
                    <w:t>第三周</w:t>
                  </w: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sz w:val="23"/>
                      <w:szCs w:val="23"/>
                    </w:rPr>
                  </w:pPr>
                  <w:r>
                    <w:rPr>
                      <w:rFonts w:ascii="Calibri" w:hAnsi="Calibri" w:cs="Calibri"/>
                      <w:b/>
                      <w:bCs/>
                      <w:sz w:val="23"/>
                      <w:szCs w:val="23"/>
                    </w:rPr>
                    <w:t>阅读课程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b/>
                      <w:bCs/>
                      <w:sz w:val="23"/>
                      <w:szCs w:val="23"/>
                    </w:rPr>
                    <w:t>奥赛罗和种族</w:t>
                  </w:r>
                </w:p>
                <w:p>
                  <w:pPr>
                    <w:rPr>
                      <w:rFonts w:ascii="Calibri" w:hAnsi="Calibri" w:cs="Calibri"/>
                      <w:b/>
                      <w:bCs/>
                      <w:sz w:val="23"/>
                      <w:szCs w:val="23"/>
                    </w:rPr>
                  </w:pPr>
                  <w:r>
                    <w:rPr>
                      <w:rFonts w:ascii="Calibri" w:hAnsi="Calibri" w:cs="Calibri"/>
                      <w:sz w:val="23"/>
                      <w:szCs w:val="23"/>
                    </w:rPr>
                    <w:t>Othello and race</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continue"/>
                  <w:tcBorders>
                    <w:left w:val="nil"/>
                    <w:right w:val="nil"/>
                  </w:tcBorders>
                  <w:shd w:val="clear" w:color="auto" w:fill="auto"/>
                  <w:vAlign w:val="center"/>
                </w:tcPr>
                <w:p>
                  <w:pPr>
                    <w:jc w:val="center"/>
                    <w:rPr>
                      <w:rFonts w:ascii="Calibri" w:hAnsi="Calibri" w:cs="Calibri"/>
                      <w:b/>
                      <w:bCs/>
                      <w:sz w:val="23"/>
                      <w:szCs w:val="23"/>
                    </w:rPr>
                  </w:pP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3"/>
                      <w:szCs w:val="23"/>
                    </w:rPr>
                  </w:pPr>
                  <w:r>
                    <w:rPr>
                      <w:rFonts w:ascii="Calibri" w:hAnsi="Calibri" w:cs="Calibri"/>
                      <w:b/>
                      <w:bCs/>
                      <w:sz w:val="23"/>
                      <w:szCs w:val="23"/>
                    </w:rPr>
                    <w:t>专业课程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b/>
                      <w:bCs/>
                      <w:sz w:val="23"/>
                      <w:szCs w:val="23"/>
                    </w:rPr>
                    <w:t>莎士比亚诗歌</w:t>
                  </w:r>
                </w:p>
                <w:p>
                  <w:pPr>
                    <w:rPr>
                      <w:rFonts w:ascii="Calibri" w:hAnsi="Calibri" w:cs="Calibri"/>
                      <w:sz w:val="23"/>
                      <w:szCs w:val="23"/>
                    </w:rPr>
                  </w:pPr>
                  <w:r>
                    <w:rPr>
                      <w:rFonts w:ascii="Calibri" w:hAnsi="Calibri" w:cs="Calibri"/>
                      <w:sz w:val="23"/>
                      <w:szCs w:val="23"/>
                    </w:rPr>
                    <w:t>Shakespeare's poems in his lifetime</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restart"/>
                  <w:tcBorders>
                    <w:top w:val="single" w:color="8EAADB" w:themeColor="accent1" w:themeTint="99" w:sz="4" w:space="0"/>
                    <w:left w:val="nil"/>
                    <w:right w:val="nil"/>
                  </w:tcBorders>
                  <w:shd w:val="clear" w:color="auto" w:fill="auto"/>
                  <w:vAlign w:val="center"/>
                </w:tcPr>
                <w:p>
                  <w:pPr>
                    <w:jc w:val="center"/>
                    <w:rPr>
                      <w:rFonts w:ascii="Calibri" w:hAnsi="Calibri" w:cs="Calibri"/>
                      <w:b/>
                      <w:bCs/>
                      <w:sz w:val="23"/>
                      <w:szCs w:val="23"/>
                    </w:rPr>
                  </w:pPr>
                  <w:r>
                    <w:rPr>
                      <w:rFonts w:ascii="Calibri" w:hAnsi="Calibri" w:cs="Calibri"/>
                      <w:b/>
                      <w:bCs/>
                      <w:sz w:val="23"/>
                      <w:szCs w:val="23"/>
                    </w:rPr>
                    <w:t>第四周</w:t>
                  </w: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sz w:val="23"/>
                      <w:szCs w:val="23"/>
                    </w:rPr>
                  </w:pPr>
                  <w:r>
                    <w:rPr>
                      <w:rFonts w:ascii="Calibri" w:hAnsi="Calibri" w:cs="Calibri"/>
                      <w:b/>
                      <w:bCs/>
                      <w:sz w:val="23"/>
                      <w:szCs w:val="23"/>
                    </w:rPr>
                    <w:t>阅读课程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bookmarkStart w:id="7" w:name="OLE_LINK6"/>
                  <w:bookmarkStart w:id="8" w:name="OLE_LINK7"/>
                  <w:r>
                    <w:rPr>
                      <w:rFonts w:ascii="Calibri" w:hAnsi="Calibri" w:cs="Calibri"/>
                      <w:b/>
                      <w:bCs/>
                      <w:sz w:val="23"/>
                      <w:szCs w:val="23"/>
                    </w:rPr>
                    <w:t>麦克白和宗教</w:t>
                  </w:r>
                </w:p>
                <w:p>
                  <w:pPr>
                    <w:rPr>
                      <w:rFonts w:ascii="Calibri" w:hAnsi="Calibri" w:cs="Calibri"/>
                      <w:b/>
                      <w:bCs/>
                      <w:sz w:val="23"/>
                      <w:szCs w:val="23"/>
                    </w:rPr>
                  </w:pPr>
                  <w:r>
                    <w:rPr>
                      <w:rFonts w:ascii="Calibri" w:hAnsi="Calibri" w:cs="Calibri"/>
                      <w:sz w:val="23"/>
                      <w:szCs w:val="23"/>
                    </w:rPr>
                    <w:t>Macbeth and religion</w:t>
                  </w:r>
                  <w:bookmarkEnd w:id="7"/>
                  <w:bookmarkEnd w:id="8"/>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continue"/>
                  <w:tcBorders>
                    <w:left w:val="nil"/>
                    <w:right w:val="nil"/>
                  </w:tcBorders>
                  <w:shd w:val="clear" w:color="auto" w:fill="auto"/>
                  <w:vAlign w:val="center"/>
                </w:tcPr>
                <w:p>
                  <w:pPr>
                    <w:jc w:val="center"/>
                    <w:rPr>
                      <w:rFonts w:ascii="Calibri" w:hAnsi="Calibri" w:cs="Calibri"/>
                      <w:b/>
                      <w:bCs/>
                      <w:sz w:val="23"/>
                      <w:szCs w:val="23"/>
                    </w:rPr>
                  </w:pP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3"/>
                      <w:szCs w:val="23"/>
                    </w:rPr>
                  </w:pPr>
                  <w:r>
                    <w:rPr>
                      <w:rFonts w:ascii="Calibri" w:hAnsi="Calibri" w:cs="Calibri"/>
                      <w:b/>
                      <w:bCs/>
                      <w:sz w:val="23"/>
                      <w:szCs w:val="23"/>
                    </w:rPr>
                    <w:t>专业课程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b/>
                      <w:bCs/>
                      <w:sz w:val="23"/>
                      <w:szCs w:val="23"/>
                    </w:rPr>
                    <w:t>英国历史与君主</w:t>
                  </w:r>
                </w:p>
                <w:p>
                  <w:pPr>
                    <w:rPr>
                      <w:rFonts w:ascii="Calibri" w:hAnsi="Calibri" w:cs="Calibri"/>
                      <w:sz w:val="23"/>
                      <w:szCs w:val="23"/>
                    </w:rPr>
                  </w:pPr>
                  <w:r>
                    <w:rPr>
                      <w:rFonts w:ascii="Calibri" w:hAnsi="Calibri" w:cs="Calibri"/>
                      <w:sz w:val="23"/>
                      <w:szCs w:val="23"/>
                    </w:rPr>
                    <w:t>British History and Monarchs</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restart"/>
                  <w:tcBorders>
                    <w:left w:val="nil"/>
                    <w:right w:val="nil"/>
                  </w:tcBorders>
                  <w:shd w:val="clear" w:color="auto" w:fill="auto"/>
                  <w:vAlign w:val="center"/>
                </w:tcPr>
                <w:p>
                  <w:pPr>
                    <w:jc w:val="center"/>
                    <w:rPr>
                      <w:rFonts w:ascii="Calibri" w:hAnsi="Calibri" w:cs="Calibri"/>
                      <w:b/>
                      <w:bCs/>
                      <w:sz w:val="23"/>
                      <w:szCs w:val="23"/>
                    </w:rPr>
                  </w:pPr>
                  <w:r>
                    <w:rPr>
                      <w:rFonts w:ascii="Calibri" w:hAnsi="Calibri" w:cs="Calibri"/>
                      <w:b/>
                      <w:bCs/>
                      <w:sz w:val="23"/>
                      <w:szCs w:val="23"/>
                    </w:rPr>
                    <w:t>第五周</w:t>
                  </w: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sz w:val="23"/>
                      <w:szCs w:val="23"/>
                    </w:rPr>
                  </w:pPr>
                  <w:r>
                    <w:rPr>
                      <w:rFonts w:ascii="Calibri" w:hAnsi="Calibri" w:cs="Calibri"/>
                      <w:b/>
                      <w:bCs/>
                      <w:sz w:val="23"/>
                      <w:szCs w:val="23"/>
                    </w:rPr>
                    <w:t>阅读课程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b/>
                      <w:bCs/>
                      <w:sz w:val="23"/>
                      <w:szCs w:val="23"/>
                    </w:rPr>
                    <w:t>驯悍记与性别</w:t>
                  </w:r>
                </w:p>
                <w:p>
                  <w:pPr>
                    <w:rPr>
                      <w:rFonts w:ascii="Calibri" w:hAnsi="Calibri" w:cs="Calibri"/>
                      <w:b/>
                      <w:bCs/>
                      <w:sz w:val="23"/>
                      <w:szCs w:val="23"/>
                    </w:rPr>
                  </w:pPr>
                  <w:r>
                    <w:rPr>
                      <w:rFonts w:ascii="Calibri" w:hAnsi="Calibri" w:cs="Calibri"/>
                      <w:sz w:val="23"/>
                      <w:szCs w:val="23"/>
                    </w:rPr>
                    <w:t>The Taming of the Shrew and gender</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continue"/>
                  <w:tcBorders>
                    <w:left w:val="nil"/>
                    <w:right w:val="nil"/>
                  </w:tcBorders>
                  <w:shd w:val="clear" w:color="auto" w:fill="auto"/>
                  <w:vAlign w:val="center"/>
                </w:tcPr>
                <w:p>
                  <w:pPr>
                    <w:jc w:val="center"/>
                    <w:rPr>
                      <w:rFonts w:ascii="Calibri" w:hAnsi="Calibri" w:cs="Calibri"/>
                      <w:b/>
                      <w:bCs/>
                      <w:sz w:val="23"/>
                      <w:szCs w:val="23"/>
                    </w:rPr>
                  </w:pP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3"/>
                      <w:szCs w:val="23"/>
                    </w:rPr>
                  </w:pPr>
                  <w:r>
                    <w:rPr>
                      <w:rFonts w:ascii="Calibri" w:hAnsi="Calibri" w:cs="Calibri"/>
                      <w:b/>
                      <w:bCs/>
                      <w:sz w:val="23"/>
                      <w:szCs w:val="23"/>
                    </w:rPr>
                    <w:t>专业课程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b/>
                      <w:bCs/>
                      <w:sz w:val="23"/>
                      <w:szCs w:val="23"/>
                    </w:rPr>
                    <w:t>应用语言学与全球化发展</w:t>
                  </w:r>
                </w:p>
                <w:p>
                  <w:pPr>
                    <w:rPr>
                      <w:rFonts w:ascii="Calibri" w:hAnsi="Calibri" w:cs="Calibri"/>
                      <w:sz w:val="23"/>
                      <w:szCs w:val="23"/>
                    </w:rPr>
                  </w:pPr>
                  <w:r>
                    <w:rPr>
                      <w:rFonts w:ascii="Calibri" w:hAnsi="Calibri" w:cs="Calibri"/>
                      <w:sz w:val="23"/>
                      <w:szCs w:val="23"/>
                    </w:rPr>
                    <w:t>Applied Language and Globalisation</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restart"/>
                  <w:tcBorders>
                    <w:left w:val="nil"/>
                    <w:right w:val="nil"/>
                  </w:tcBorders>
                  <w:shd w:val="clear" w:color="auto" w:fill="auto"/>
                  <w:vAlign w:val="center"/>
                </w:tcPr>
                <w:p>
                  <w:pPr>
                    <w:jc w:val="center"/>
                    <w:rPr>
                      <w:rFonts w:ascii="Calibri" w:hAnsi="Calibri" w:cs="Calibri"/>
                      <w:b/>
                      <w:bCs/>
                      <w:sz w:val="23"/>
                      <w:szCs w:val="23"/>
                    </w:rPr>
                  </w:pPr>
                  <w:r>
                    <w:rPr>
                      <w:rFonts w:ascii="Calibri" w:hAnsi="Calibri" w:cs="Calibri"/>
                      <w:b/>
                      <w:bCs/>
                      <w:sz w:val="23"/>
                      <w:szCs w:val="23"/>
                    </w:rPr>
                    <w:t>第六周</w:t>
                  </w: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sz w:val="23"/>
                      <w:szCs w:val="23"/>
                    </w:rPr>
                  </w:pPr>
                  <w:r>
                    <w:rPr>
                      <w:rFonts w:ascii="Calibri" w:hAnsi="Calibri" w:cs="Calibri"/>
                      <w:b/>
                      <w:bCs/>
                      <w:sz w:val="23"/>
                      <w:szCs w:val="23"/>
                    </w:rPr>
                    <w:t>阅读课程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b/>
                      <w:bCs/>
                      <w:sz w:val="23"/>
                      <w:szCs w:val="23"/>
                    </w:rPr>
                    <w:t>暴风雨与现实的本质</w:t>
                  </w:r>
                </w:p>
                <w:p>
                  <w:pPr>
                    <w:rPr>
                      <w:rFonts w:ascii="Calibri" w:hAnsi="Calibri" w:cs="Calibri"/>
                      <w:b/>
                      <w:bCs/>
                      <w:sz w:val="23"/>
                      <w:szCs w:val="23"/>
                    </w:rPr>
                  </w:pPr>
                  <w:r>
                    <w:rPr>
                      <w:rFonts w:ascii="Calibri" w:hAnsi="Calibri" w:cs="Calibri"/>
                      <w:sz w:val="23"/>
                      <w:szCs w:val="23"/>
                    </w:rPr>
                    <w:t>The Tempest and the nature of reality</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81" w:type="pct"/>
                  <w:vMerge w:val="continue"/>
                  <w:tcBorders>
                    <w:left w:val="nil"/>
                    <w:right w:val="nil"/>
                  </w:tcBorders>
                  <w:shd w:val="clear" w:color="auto" w:fill="auto"/>
                  <w:vAlign w:val="center"/>
                </w:tcPr>
                <w:p>
                  <w:pPr>
                    <w:jc w:val="center"/>
                    <w:rPr>
                      <w:rFonts w:ascii="Calibri" w:hAnsi="Calibri" w:cs="Calibri"/>
                      <w:b/>
                      <w:bCs/>
                      <w:sz w:val="23"/>
                      <w:szCs w:val="23"/>
                    </w:rPr>
                  </w:pPr>
                </w:p>
              </w:tc>
              <w:tc>
                <w:tcPr>
                  <w:tcW w:w="878" w:type="pct"/>
                  <w:tcBorders>
                    <w:top w:val="single" w:color="8EAADB" w:themeColor="accent1" w:themeTint="99" w:sz="4" w:space="0"/>
                    <w:left w:val="nil"/>
                    <w:bottom w:val="single" w:color="8EAADB" w:themeColor="accent1" w:themeTint="99" w:sz="4" w:space="0"/>
                    <w:right w:val="nil"/>
                  </w:tcBorders>
                  <w:vAlign w:val="center"/>
                </w:tcPr>
                <w:p>
                  <w:pPr>
                    <w:jc w:val="center"/>
                    <w:rPr>
                      <w:rFonts w:ascii="Calibri" w:hAnsi="Calibri" w:cs="Calibri"/>
                      <w:b/>
                      <w:bCs/>
                      <w:sz w:val="23"/>
                      <w:szCs w:val="23"/>
                    </w:rPr>
                  </w:pPr>
                  <w:r>
                    <w:rPr>
                      <w:rFonts w:ascii="Calibri" w:hAnsi="Calibri" w:cs="Calibri"/>
                      <w:b/>
                      <w:bCs/>
                      <w:sz w:val="23"/>
                      <w:szCs w:val="23"/>
                    </w:rPr>
                    <w:t>专业课程</w:t>
                  </w:r>
                </w:p>
              </w:tc>
              <w:tc>
                <w:tcPr>
                  <w:tcW w:w="3541" w:type="pct"/>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Calibri" w:hAnsi="Calibri" w:cs="Calibri"/>
                      <w:b/>
                      <w:bCs/>
                      <w:sz w:val="23"/>
                      <w:szCs w:val="23"/>
                    </w:rPr>
                  </w:pPr>
                  <w:r>
                    <w:rPr>
                      <w:rFonts w:ascii="Calibri" w:hAnsi="Calibri" w:cs="Calibri"/>
                      <w:b/>
                      <w:bCs/>
                      <w:sz w:val="23"/>
                      <w:szCs w:val="23"/>
                    </w:rPr>
                    <w:t>小组结业汇报展示</w:t>
                  </w:r>
                </w:p>
                <w:p>
                  <w:pPr>
                    <w:rPr>
                      <w:rFonts w:ascii="Calibri" w:hAnsi="Calibri" w:cs="Calibri"/>
                      <w:b/>
                      <w:bCs/>
                      <w:sz w:val="23"/>
                      <w:szCs w:val="23"/>
                    </w:rPr>
                  </w:pPr>
                  <w:r>
                    <w:rPr>
                      <w:rFonts w:ascii="Calibri" w:hAnsi="Calibri" w:cs="Calibri"/>
                      <w:b/>
                      <w:bCs/>
                      <w:sz w:val="23"/>
                      <w:szCs w:val="23"/>
                    </w:rPr>
                    <w:t>项目结业仪式</w:t>
                  </w:r>
                </w:p>
              </w:tc>
            </w:tr>
          </w:tbl>
          <w:p>
            <w:pPr>
              <w:widowControl/>
              <w:jc w:val="left"/>
              <w:rPr>
                <w:rFonts w:ascii="Calibri" w:hAnsi="Calibri" w:cs="Calibri" w:eastAsiaTheme="minorHAnsi"/>
                <w:sz w:val="20"/>
                <w:szCs w:val="20"/>
              </w:rPr>
            </w:pPr>
            <w:r>
              <w:rPr>
                <w:rFonts w:ascii="Calibri" w:hAnsi="Calibri" w:cs="Calibri"/>
                <w:sz w:val="20"/>
                <w:szCs w:val="20"/>
              </w:rPr>
              <w:t>注：以上课程时间安排为拟定，具体安排视情况会略有调整</w:t>
            </w:r>
          </w:p>
        </w:tc>
      </w:tr>
    </w:tbl>
    <w:p>
      <w:pPr>
        <w:widowControl/>
        <w:jc w:val="left"/>
        <w:rPr>
          <w:rFonts w:ascii="Calibri" w:hAnsi="Calibri" w:cs="Calibri"/>
        </w:rPr>
      </w:pP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0071BC"/>
        <w:tblLayout w:type="autofit"/>
        <w:tblCellMar>
          <w:top w:w="0" w:type="dxa"/>
          <w:left w:w="57" w:type="dxa"/>
          <w:bottom w:w="0" w:type="dxa"/>
          <w:right w:w="57" w:type="dxa"/>
        </w:tblCellMar>
      </w:tblPr>
      <w:tblGrid>
        <w:gridCol w:w="607"/>
        <w:gridCol w:w="9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0071BC"/>
          <w:tblCellMar>
            <w:top w:w="0" w:type="dxa"/>
            <w:left w:w="57" w:type="dxa"/>
            <w:bottom w:w="0" w:type="dxa"/>
            <w:right w:w="57" w:type="dxa"/>
          </w:tblCellMar>
        </w:tblPrEx>
        <w:tc>
          <w:tcPr>
            <w:tcW w:w="600" w:type="dxa"/>
            <w:shd w:val="clear" w:color="auto" w:fill="0071BC"/>
            <w:vAlign w:val="center"/>
          </w:tcPr>
          <w:p>
            <w:pPr>
              <w:jc w:val="center"/>
              <w:rPr>
                <w:rFonts w:ascii="Calibri" w:hAnsi="Calibri" w:cs="Calibri" w:eastAsiaTheme="minorHAnsi"/>
                <w:szCs w:val="21"/>
              </w:rPr>
            </w:pPr>
            <w:r>
              <w:rPr>
                <w:rFonts w:ascii="Calibri" w:hAnsi="Calibri" w:cs="Calibri" w:eastAsiaTheme="minorHAnsi"/>
                <w:szCs w:val="21"/>
              </w:rPr>
              <w:drawing>
                <wp:inline distT="0" distB="0" distL="0" distR="0">
                  <wp:extent cx="251460" cy="287655"/>
                  <wp:effectExtent l="0" t="0" r="0" b="0"/>
                  <wp:docPr id="7" name="图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形 8"/>
                          <pic:cNvPicPr>
                            <a:picLocks noChangeAspect="1"/>
                          </pic:cNvPicPr>
                        </pic:nvPicPr>
                        <pic:blipFill>
                          <a:blip r:embed="rId20" cstate="print">
                            <a:extLst>
                              <a:ext uri="{96DAC541-7B7A-43D3-8B79-37D633B846F1}">
                                <asvg:svgBlip xmlns:asvg="http://schemas.microsoft.com/office/drawing/2016/SVG/main" r:embed="rId21"/>
                              </a:ext>
                            </a:extLst>
                          </a:blip>
                          <a:stretch>
                            <a:fillRect/>
                          </a:stretch>
                        </pic:blipFill>
                        <pic:spPr>
                          <a:xfrm>
                            <a:off x="0" y="0"/>
                            <a:ext cx="252000" cy="288000"/>
                          </a:xfrm>
                          <a:prstGeom prst="rect">
                            <a:avLst/>
                          </a:prstGeom>
                        </pic:spPr>
                      </pic:pic>
                    </a:graphicData>
                  </a:graphic>
                </wp:inline>
              </w:drawing>
            </w:r>
          </w:p>
        </w:tc>
        <w:tc>
          <w:tcPr>
            <w:tcW w:w="9604" w:type="dxa"/>
            <w:shd w:val="clear" w:color="auto" w:fill="0071BC"/>
            <w:vAlign w:val="center"/>
          </w:tcPr>
          <w:p>
            <w:pPr>
              <w:rPr>
                <w:rFonts w:ascii="Calibri" w:hAnsi="Calibri" w:cs="Calibri" w:eastAsiaTheme="minorHAnsi"/>
                <w:color w:val="FFFFFF"/>
                <w:szCs w:val="21"/>
              </w:rPr>
            </w:pPr>
            <w:r>
              <w:rPr>
                <w:rFonts w:ascii="Calibri" w:hAnsi="Calibri" w:cs="Calibri"/>
                <w:b/>
                <w:bCs/>
                <w:color w:val="FFFFFF"/>
                <w:sz w:val="32"/>
                <w:szCs w:val="32"/>
              </w:rPr>
              <w:t>项目概览4：全球领导力与英语文化</w:t>
            </w:r>
          </w:p>
        </w:tc>
      </w:tr>
    </w:tbl>
    <w:p>
      <w:pPr>
        <w:widowControl/>
        <w:jc w:val="left"/>
        <w:rPr>
          <w:rFonts w:ascii="Calibri" w:hAnsi="Calibri" w:cs="Calibri"/>
        </w:rPr>
      </w:pPr>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751"/>
        <w:gridCol w:w="1519"/>
        <w:gridCol w:w="80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364" w:type="pct"/>
            <w:tcBorders>
              <w:bottom w:val="single" w:color="0071BC" w:sz="12" w:space="0"/>
            </w:tcBorders>
            <w:shd w:val="clear" w:color="auto" w:fill="0071BC"/>
            <w:tcMar>
              <w:top w:w="0" w:type="dxa"/>
              <w:bottom w:w="0" w:type="dxa"/>
            </w:tcMar>
            <w:vAlign w:val="center"/>
          </w:tcPr>
          <w:p>
            <w:pPr>
              <w:jc w:val="cente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rPr>
              <w:drawing>
                <wp:inline distT="0" distB="0" distL="0" distR="0">
                  <wp:extent cx="287655" cy="287655"/>
                  <wp:effectExtent l="0" t="0" r="0" b="0"/>
                  <wp:docPr id="22" name="图形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形 28"/>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87655" cy="287655"/>
                          </a:xfrm>
                          <a:prstGeom prst="rect">
                            <a:avLst/>
                          </a:prstGeom>
                        </pic:spPr>
                      </pic:pic>
                    </a:graphicData>
                  </a:graphic>
                </wp:inline>
              </w:drawing>
            </w:r>
          </w:p>
        </w:tc>
        <w:tc>
          <w:tcPr>
            <w:tcW w:w="736" w:type="pct"/>
            <w:tcBorders>
              <w:bottom w:val="single" w:color="0071BC" w:sz="12" w:space="0"/>
            </w:tcBorders>
            <w:shd w:val="clear" w:color="auto" w:fill="0071BC"/>
            <w:tcMar>
              <w:top w:w="0" w:type="dxa"/>
              <w:bottom w:w="0" w:type="dxa"/>
            </w:tcMar>
            <w:vAlign w:val="center"/>
          </w:tcPr>
          <w:p>
            <w:pP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eastAsiaTheme="minorHAnsi"/>
                <w:b/>
                <w:bCs/>
                <w:color w:val="FFFFFF"/>
                <w:sz w:val="32"/>
                <w:szCs w:val="32"/>
              </w:rPr>
              <w:t>课程概览</w:t>
            </w:r>
          </w:p>
        </w:tc>
        <w:tc>
          <w:tcPr>
            <w:tcW w:w="3900" w:type="pct"/>
            <w:tcBorders>
              <w:bottom w:val="single" w:color="0071BC" w:sz="12" w:space="0"/>
            </w:tcBorders>
            <w:tcMar>
              <w:top w:w="0" w:type="dxa"/>
              <w:bottom w:w="0" w:type="dxa"/>
            </w:tcMar>
          </w:tcPr>
          <w:p>
            <w:pPr>
              <w:rPr>
                <w:rFonts w:ascii="Calibri" w:hAnsi="Calibri" w:cs="Calibri"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p>
            <w:pPr>
              <w:spacing w:line="180" w:lineRule="exact"/>
              <w:rPr>
                <w:rFonts w:ascii="Calibri" w:hAnsi="Calibri" w:cs="Calibri"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p>
            <w:pPr>
              <w:rPr>
                <w:rFonts w:ascii="Calibri" w:hAnsi="Calibri" w:cs="Calibri" w:eastAsiaTheme="minorHAnsi"/>
                <w:sz w:val="23"/>
                <w:szCs w:val="23"/>
              </w:rPr>
            </w:pPr>
            <w:r>
              <w:rPr>
                <w:rFonts w:ascii="Calibri" w:hAnsi="Calibri" w:cs="Calibri" w:eastAsiaTheme="minorHAnsi"/>
                <w:sz w:val="23"/>
                <w:szCs w:val="23"/>
              </w:rPr>
              <w:t>该项目根据剑桥大学的教学理念设计，包含丰富的教学内容：英语研讨课程、专业学术课程、问题与讨论。教学内容是多学科设计，英语研讨课程为小班式教学，学员将在高度集中和创新的英语语言课堂上学习比较文化差异，培养自身的创新性思维和沟通技巧，主题包含礼仪、体育、教育、法律、领导力等等；在专业学术课堂上，学员将有机会学习社会上最具有挑战性和前沿的课题，包含：商业、创新、创业、金融、法律与领导力等。学员将在项目中体验到剑桥大学的学习与生活，提升自己的英语语言技能、开拓视野、培养创新思维、提升专业知识。</w:t>
            </w:r>
          </w:p>
        </w:tc>
      </w:tr>
    </w:tbl>
    <w:p>
      <w:pPr>
        <w:widowControl/>
        <w:spacing w:line="240" w:lineRule="exact"/>
        <w:jc w:val="left"/>
        <w:rPr>
          <w:rFonts w:ascii="Calibri" w:hAnsi="Calibri" w:cs="Calibri"/>
        </w:rPr>
      </w:pP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757"/>
        <w:gridCol w:w="784"/>
        <w:gridCol w:w="752"/>
        <w:gridCol w:w="861"/>
        <w:gridCol w:w="71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749" w:type="dxa"/>
            <w:tcBorders>
              <w:bottom w:val="single" w:color="0071BC" w:sz="12" w:space="0"/>
            </w:tcBorders>
            <w:shd w:val="clear" w:color="auto" w:fill="0071BC"/>
            <w:tcMar>
              <w:top w:w="0" w:type="dxa"/>
              <w:bottom w:w="0" w:type="dxa"/>
            </w:tcMar>
            <w:vAlign w:val="center"/>
          </w:tcPr>
          <w:p>
            <w:pP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eastAsiaTheme="minorHAnsi"/>
                <w:b/>
                <w:bCs/>
                <w:color w:val="FFFFFF" w:themeColor="background1"/>
                <w:sz w:val="32"/>
                <w:szCs w:val="32"/>
                <w14:textFill>
                  <w14:solidFill>
                    <w14:schemeClr w14:val="bg1"/>
                  </w14:solidFill>
                </w14:textFill>
              </w:rPr>
              <w:drawing>
                <wp:inline distT="0" distB="0" distL="0" distR="0">
                  <wp:extent cx="287655" cy="287655"/>
                  <wp:effectExtent l="0" t="0" r="0" b="0"/>
                  <wp:docPr id="24" name="图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形 3"/>
                          <pic:cNvPicPr>
                            <a:picLocks noChangeAspect="1"/>
                          </pic:cNvPicPr>
                        </pic:nvPicPr>
                        <pic:blipFill>
                          <a:blip r:embed="rId15" cstate="print">
                            <a:extLst>
                              <a:ext uri="{96DAC541-7B7A-43D3-8B79-37D633B846F1}">
                                <asvg:svgBlip xmlns:asvg="http://schemas.microsoft.com/office/drawing/2016/SVG/main" r:embed="rId16"/>
                              </a:ext>
                            </a:extLst>
                          </a:blip>
                          <a:stretch>
                            <a:fillRect/>
                          </a:stretch>
                        </pic:blipFill>
                        <pic:spPr>
                          <a:xfrm>
                            <a:off x="0" y="0"/>
                            <a:ext cx="288000" cy="288000"/>
                          </a:xfrm>
                          <a:prstGeom prst="rect">
                            <a:avLst/>
                          </a:prstGeom>
                        </pic:spPr>
                      </pic:pic>
                    </a:graphicData>
                  </a:graphic>
                </wp:inline>
              </w:drawing>
            </w:r>
          </w:p>
        </w:tc>
        <w:tc>
          <w:tcPr>
            <w:tcW w:w="1519" w:type="dxa"/>
            <w:gridSpan w:val="2"/>
            <w:tcBorders>
              <w:bottom w:val="single" w:color="0071BC" w:sz="12" w:space="0"/>
            </w:tcBorders>
            <w:shd w:val="clear" w:color="auto" w:fill="0071BC"/>
            <w:tcMar>
              <w:top w:w="0" w:type="dxa"/>
              <w:bottom w:w="0" w:type="dxa"/>
            </w:tcMar>
            <w:vAlign w:val="center"/>
          </w:tcPr>
          <w:p>
            <w:pPr>
              <w:rPr>
                <w:rFonts w:ascii="Calibri" w:hAnsi="Calibri" w:cs="Calibri" w:eastAsiaTheme="minorHAnsi"/>
                <w:b/>
                <w:bCs/>
                <w:color w:val="FFFFFF" w:themeColor="background1"/>
                <w:sz w:val="32"/>
                <w:szCs w:val="32"/>
                <w14:textFill>
                  <w14:solidFill>
                    <w14:schemeClr w14:val="bg1"/>
                  </w14:solidFill>
                </w14:textFill>
              </w:rPr>
            </w:pPr>
            <w:r>
              <w:rPr>
                <w:rFonts w:ascii="Calibri" w:hAnsi="Calibri" w:cs="Calibri" w:eastAsiaTheme="minorHAnsi"/>
                <w:b/>
                <w:bCs/>
                <w:color w:val="FFFFFF" w:themeColor="background1"/>
                <w:sz w:val="32"/>
                <w:szCs w:val="32"/>
                <w14:textFill>
                  <w14:solidFill>
                    <w14:schemeClr w14:val="bg1"/>
                  </w14:solidFill>
                </w14:textFill>
              </w:rPr>
              <w:t>课程结构</w:t>
            </w:r>
          </w:p>
        </w:tc>
        <w:tc>
          <w:tcPr>
            <w:tcW w:w="7936" w:type="dxa"/>
            <w:gridSpan w:val="2"/>
            <w:tcBorders>
              <w:bottom w:val="single" w:color="0071BC" w:sz="12" w:space="0"/>
            </w:tcBorders>
            <w:tcMar>
              <w:top w:w="0" w:type="dxa"/>
              <w:bottom w:w="0" w:type="dxa"/>
            </w:tcMar>
            <w:vAlign w:val="center"/>
          </w:tcPr>
          <w:p>
            <w:pPr>
              <w:rPr>
                <w:rFonts w:ascii="Calibri" w:hAnsi="Calibri" w:cs="Calibri"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5"/>
            <w:shd w:val="clear" w:color="auto" w:fill="auto"/>
            <w:vAlign w:val="center"/>
          </w:tcPr>
          <w:p>
            <w:pPr>
              <w:spacing w:line="180" w:lineRule="exact"/>
              <w:rPr>
                <w:rFonts w:ascii="Calibri" w:hAnsi="Calibri" w:cs="Calibri" w:eastAsiaTheme="minorHAnsi"/>
                <w:b/>
                <w:bCs/>
                <w:color w:val="0071BC"/>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4" w:type="dxa"/>
            <w:gridSpan w:val="2"/>
            <w:shd w:val="clear" w:color="auto" w:fill="BDD6EE"/>
            <w:vAlign w:val="center"/>
          </w:tcPr>
          <w:p>
            <w:pPr>
              <w:spacing w:line="288" w:lineRule="auto"/>
              <w:jc w:val="center"/>
              <w:rPr>
                <w:rFonts w:ascii="Calibri" w:hAnsi="Calibri" w:cs="Calibri"/>
                <w:b/>
                <w:bCs/>
                <w:sz w:val="23"/>
                <w:szCs w:val="23"/>
              </w:rPr>
            </w:pPr>
            <w:r>
              <w:rPr>
                <w:rFonts w:ascii="Calibri" w:hAnsi="Calibri" w:cs="Calibri"/>
                <w:b/>
                <w:bCs/>
                <w:sz w:val="23"/>
                <w:szCs w:val="23"/>
              </w:rPr>
              <w:t>#</w:t>
            </w:r>
          </w:p>
        </w:tc>
        <w:tc>
          <w:tcPr>
            <w:tcW w:w="1595" w:type="dxa"/>
            <w:gridSpan w:val="2"/>
            <w:shd w:val="clear" w:color="auto" w:fill="BDD6EE"/>
            <w:vAlign w:val="center"/>
          </w:tcPr>
          <w:p>
            <w:pPr>
              <w:spacing w:line="288" w:lineRule="auto"/>
              <w:jc w:val="center"/>
              <w:rPr>
                <w:rFonts w:ascii="Calibri" w:hAnsi="Calibri" w:cs="Calibri"/>
                <w:b/>
                <w:bCs/>
                <w:sz w:val="23"/>
                <w:szCs w:val="23"/>
              </w:rPr>
            </w:pPr>
            <w:r>
              <w:rPr>
                <w:rFonts w:hint="eastAsia" w:ascii="Calibri" w:hAnsi="Calibri" w:cs="Calibri"/>
                <w:b/>
                <w:bCs/>
                <w:sz w:val="23"/>
                <w:szCs w:val="23"/>
              </w:rPr>
              <w:t>时间</w:t>
            </w:r>
          </w:p>
        </w:tc>
        <w:tc>
          <w:tcPr>
            <w:tcW w:w="7085" w:type="dxa"/>
            <w:shd w:val="clear" w:color="auto" w:fill="BDD6EE"/>
            <w:vAlign w:val="center"/>
          </w:tcPr>
          <w:p>
            <w:pPr>
              <w:spacing w:line="288" w:lineRule="auto"/>
              <w:jc w:val="center"/>
              <w:rPr>
                <w:rFonts w:ascii="Calibri" w:hAnsi="Calibri" w:cs="Calibri"/>
                <w:b/>
                <w:bCs/>
                <w:sz w:val="23"/>
                <w:szCs w:val="23"/>
              </w:rPr>
            </w:pPr>
            <w:r>
              <w:rPr>
                <w:rFonts w:ascii="Calibri" w:hAnsi="Calibri" w:cs="Calibri"/>
                <w:b/>
                <w:bCs/>
                <w:sz w:val="23"/>
                <w:szCs w:val="23"/>
              </w:rPr>
              <w:t>课程大纲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4" w:type="dxa"/>
            <w:gridSpan w:val="2"/>
            <w:vMerge w:val="restart"/>
            <w:tcBorders>
              <w:bottom w:val="single" w:color="8EAADB" w:themeColor="accent1" w:themeTint="99" w:sz="4" w:space="0"/>
            </w:tcBorders>
            <w:vAlign w:val="center"/>
          </w:tcPr>
          <w:p>
            <w:pPr>
              <w:jc w:val="center"/>
              <w:rPr>
                <w:rFonts w:ascii="Calibri" w:hAnsi="Calibri" w:cs="Calibri"/>
                <w:sz w:val="23"/>
                <w:szCs w:val="23"/>
              </w:rPr>
            </w:pPr>
            <w:r>
              <w:rPr>
                <w:rFonts w:ascii="Calibri" w:hAnsi="Calibri" w:cs="Calibri"/>
                <w:sz w:val="23"/>
                <w:szCs w:val="23"/>
              </w:rPr>
              <w:t>第一天</w:t>
            </w:r>
          </w:p>
        </w:tc>
        <w:tc>
          <w:tcPr>
            <w:tcW w:w="1595" w:type="dxa"/>
            <w:gridSpan w:val="2"/>
            <w:tcBorders>
              <w:bottom w:val="single" w:color="8EAADB" w:themeColor="accent1" w:themeTint="99" w:sz="4" w:space="0"/>
            </w:tcBorders>
            <w:vAlign w:val="center"/>
          </w:tcPr>
          <w:p>
            <w:pPr>
              <w:jc w:val="center"/>
              <w:rPr>
                <w:rFonts w:ascii="Calibri" w:hAnsi="Calibri" w:cs="Calibri"/>
                <w:sz w:val="23"/>
                <w:szCs w:val="23"/>
              </w:rPr>
            </w:pPr>
            <w:r>
              <w:rPr>
                <w:rFonts w:ascii="Calibri" w:hAnsi="Calibri" w:cs="Calibri"/>
                <w:sz w:val="23"/>
                <w:szCs w:val="23"/>
              </w:rPr>
              <w:t>60分钟</w:t>
            </w:r>
          </w:p>
        </w:tc>
        <w:tc>
          <w:tcPr>
            <w:tcW w:w="7085" w:type="dxa"/>
            <w:tcBorders>
              <w:bottom w:val="single" w:color="8EAADB" w:themeColor="accent1" w:themeTint="99" w:sz="4" w:space="0"/>
            </w:tcBorders>
            <w:vAlign w:val="center"/>
          </w:tcPr>
          <w:p>
            <w:pPr>
              <w:rPr>
                <w:rFonts w:ascii="Calibri" w:hAnsi="Calibri" w:cs="Calibri"/>
                <w:b/>
                <w:bCs/>
                <w:sz w:val="23"/>
                <w:szCs w:val="23"/>
              </w:rPr>
            </w:pPr>
            <w:r>
              <w:rPr>
                <w:rFonts w:ascii="Calibri" w:hAnsi="Calibri" w:cs="Calibri"/>
                <w:b/>
                <w:bCs/>
                <w:sz w:val="23"/>
                <w:szCs w:val="23"/>
              </w:rPr>
              <w:t>英语研讨课：英国礼仪</w:t>
            </w:r>
          </w:p>
          <w:p>
            <w:pPr>
              <w:rPr>
                <w:rFonts w:ascii="Calibri" w:hAnsi="Calibri" w:cs="Calibri"/>
                <w:sz w:val="23"/>
                <w:szCs w:val="23"/>
              </w:rPr>
            </w:pPr>
            <w:r>
              <w:rPr>
                <w:rFonts w:ascii="Calibri" w:hAnsi="Calibri" w:cs="Calibri"/>
                <w:sz w:val="23"/>
                <w:szCs w:val="23"/>
              </w:rPr>
              <w:t>English Discussion Class: British Manners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4" w:type="dxa"/>
            <w:gridSpan w:val="2"/>
            <w:vMerge w:val="continue"/>
            <w:tcBorders>
              <w:top w:val="single" w:color="8EAADB" w:themeColor="accent1" w:themeTint="99" w:sz="4" w:space="0"/>
              <w:bottom w:val="single" w:color="8EAADB" w:themeColor="accent1" w:themeTint="99" w:sz="4" w:space="0"/>
            </w:tcBorders>
            <w:vAlign w:val="center"/>
          </w:tcPr>
          <w:p>
            <w:pPr>
              <w:jc w:val="center"/>
              <w:rPr>
                <w:rFonts w:ascii="Calibri" w:hAnsi="Calibri" w:cs="Calibri"/>
                <w:sz w:val="23"/>
                <w:szCs w:val="23"/>
              </w:rPr>
            </w:pPr>
          </w:p>
        </w:tc>
        <w:tc>
          <w:tcPr>
            <w:tcW w:w="1595" w:type="dxa"/>
            <w:gridSpan w:val="2"/>
            <w:tcBorders>
              <w:top w:val="single" w:color="8EAADB" w:themeColor="accent1" w:themeTint="99" w:sz="4" w:space="0"/>
              <w:bottom w:val="single" w:color="8EAADB" w:themeColor="accent1" w:themeTint="99" w:sz="4" w:space="0"/>
            </w:tcBorders>
            <w:vAlign w:val="center"/>
          </w:tcPr>
          <w:p>
            <w:pPr>
              <w:jc w:val="center"/>
              <w:rPr>
                <w:rFonts w:ascii="Calibri" w:hAnsi="Calibri" w:cs="Calibri"/>
                <w:sz w:val="23"/>
                <w:szCs w:val="23"/>
              </w:rPr>
            </w:pPr>
            <w:r>
              <w:rPr>
                <w:rFonts w:ascii="Calibri" w:hAnsi="Calibri" w:cs="Calibri"/>
                <w:sz w:val="23"/>
                <w:szCs w:val="23"/>
              </w:rPr>
              <w:t>120分钟</w:t>
            </w:r>
          </w:p>
        </w:tc>
        <w:tc>
          <w:tcPr>
            <w:tcW w:w="7085" w:type="dxa"/>
            <w:tcBorders>
              <w:top w:val="single" w:color="8EAADB" w:themeColor="accent1" w:themeTint="99" w:sz="4" w:space="0"/>
              <w:bottom w:val="single" w:color="8EAADB" w:themeColor="accent1" w:themeTint="99" w:sz="4" w:space="0"/>
            </w:tcBorders>
            <w:vAlign w:val="center"/>
          </w:tcPr>
          <w:p>
            <w:pPr>
              <w:rPr>
                <w:rFonts w:ascii="Calibri" w:hAnsi="Calibri" w:cs="Calibri"/>
                <w:b/>
                <w:bCs/>
                <w:sz w:val="23"/>
                <w:szCs w:val="23"/>
              </w:rPr>
            </w:pPr>
            <w:r>
              <w:rPr>
                <w:rFonts w:ascii="Calibri" w:hAnsi="Calibri" w:cs="Calibri"/>
                <w:b/>
                <w:bCs/>
                <w:sz w:val="23"/>
                <w:szCs w:val="23"/>
              </w:rPr>
              <w:t>专业学术课程：商业与创新创业</w:t>
            </w:r>
          </w:p>
          <w:p>
            <w:pPr>
              <w:rPr>
                <w:rFonts w:ascii="Calibri" w:hAnsi="Calibri" w:cs="Calibri"/>
                <w:sz w:val="23"/>
                <w:szCs w:val="23"/>
              </w:rPr>
            </w:pPr>
            <w:r>
              <w:rPr>
                <w:rFonts w:ascii="Calibri" w:hAnsi="Calibri" w:cs="Calibri"/>
                <w:sz w:val="23"/>
                <w:szCs w:val="23"/>
              </w:rPr>
              <w:t>Live Webinar Lecture: Business and Entrepreneurship</w:t>
            </w:r>
          </w:p>
          <w:p>
            <w:pPr>
              <w:rPr>
                <w:rFonts w:ascii="Calibri" w:hAnsi="Calibri" w:cs="Calibri"/>
                <w:b/>
                <w:bCs/>
                <w:sz w:val="23"/>
                <w:szCs w:val="23"/>
              </w:rPr>
            </w:pPr>
            <w:r>
              <w:rPr>
                <w:rFonts w:ascii="Calibri" w:hAnsi="Calibri" w:cs="Calibri"/>
                <w:b/>
                <w:bCs/>
                <w:sz w:val="23"/>
                <w:szCs w:val="23"/>
              </w:rPr>
              <w:t>问题与讨论</w:t>
            </w:r>
          </w:p>
          <w:p>
            <w:pPr>
              <w:rPr>
                <w:rFonts w:ascii="Calibri" w:hAnsi="Calibri" w:cs="Calibri"/>
                <w:sz w:val="23"/>
                <w:szCs w:val="23"/>
              </w:rPr>
            </w:pPr>
            <w:r>
              <w:rPr>
                <w:rFonts w:ascii="Calibri" w:hAnsi="Calibri" w:cs="Calibri"/>
                <w:sz w:val="23"/>
                <w:szCs w:val="23"/>
              </w:rPr>
              <w:t>Questions and Discussion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4" w:type="dxa"/>
            <w:gridSpan w:val="2"/>
            <w:vMerge w:val="restart"/>
            <w:tcBorders>
              <w:top w:val="single" w:color="8EAADB" w:themeColor="accent1" w:themeTint="99" w:sz="4" w:space="0"/>
              <w:bottom w:val="single" w:color="8EAADB" w:themeColor="accent1" w:themeTint="99" w:sz="4" w:space="0"/>
            </w:tcBorders>
            <w:vAlign w:val="center"/>
          </w:tcPr>
          <w:p>
            <w:pPr>
              <w:jc w:val="center"/>
              <w:rPr>
                <w:rFonts w:ascii="Calibri" w:hAnsi="Calibri" w:cs="Calibri"/>
                <w:sz w:val="23"/>
                <w:szCs w:val="23"/>
              </w:rPr>
            </w:pPr>
            <w:r>
              <w:rPr>
                <w:rFonts w:ascii="Calibri" w:hAnsi="Calibri" w:cs="Calibri"/>
                <w:sz w:val="23"/>
                <w:szCs w:val="23"/>
              </w:rPr>
              <w:t>第二天</w:t>
            </w:r>
          </w:p>
        </w:tc>
        <w:tc>
          <w:tcPr>
            <w:tcW w:w="1595" w:type="dxa"/>
            <w:gridSpan w:val="2"/>
            <w:tcBorders>
              <w:top w:val="single" w:color="8EAADB" w:themeColor="accent1" w:themeTint="99" w:sz="4" w:space="0"/>
              <w:bottom w:val="single" w:color="8EAADB" w:themeColor="accent1" w:themeTint="99" w:sz="4" w:space="0"/>
            </w:tcBorders>
            <w:vAlign w:val="center"/>
          </w:tcPr>
          <w:p>
            <w:pPr>
              <w:jc w:val="center"/>
              <w:rPr>
                <w:rFonts w:ascii="Calibri" w:hAnsi="Calibri" w:cs="Calibri"/>
                <w:sz w:val="23"/>
                <w:szCs w:val="23"/>
              </w:rPr>
            </w:pPr>
            <w:r>
              <w:rPr>
                <w:rFonts w:ascii="Calibri" w:hAnsi="Calibri" w:cs="Calibri"/>
                <w:sz w:val="23"/>
                <w:szCs w:val="23"/>
              </w:rPr>
              <w:t>60分钟</w:t>
            </w:r>
          </w:p>
        </w:tc>
        <w:tc>
          <w:tcPr>
            <w:tcW w:w="7085" w:type="dxa"/>
            <w:tcBorders>
              <w:top w:val="single" w:color="8EAADB" w:themeColor="accent1" w:themeTint="99" w:sz="4" w:space="0"/>
              <w:bottom w:val="single" w:color="8EAADB" w:themeColor="accent1" w:themeTint="99" w:sz="4" w:space="0"/>
            </w:tcBorders>
            <w:vAlign w:val="center"/>
          </w:tcPr>
          <w:p>
            <w:pPr>
              <w:rPr>
                <w:rFonts w:ascii="Calibri" w:hAnsi="Calibri" w:cs="Calibri"/>
                <w:b/>
                <w:bCs/>
                <w:sz w:val="23"/>
                <w:szCs w:val="23"/>
              </w:rPr>
            </w:pPr>
            <w:r>
              <w:rPr>
                <w:rFonts w:ascii="Calibri" w:hAnsi="Calibri" w:cs="Calibri"/>
                <w:b/>
                <w:bCs/>
                <w:sz w:val="23"/>
                <w:szCs w:val="23"/>
              </w:rPr>
              <w:t>英语研讨课：英国体育运动</w:t>
            </w:r>
          </w:p>
          <w:p>
            <w:pPr>
              <w:rPr>
                <w:rFonts w:ascii="Calibri" w:hAnsi="Calibri" w:cs="Calibri"/>
                <w:sz w:val="23"/>
                <w:szCs w:val="23"/>
              </w:rPr>
            </w:pPr>
            <w:r>
              <w:rPr>
                <w:rFonts w:ascii="Calibri" w:hAnsi="Calibri" w:cs="Calibri"/>
                <w:sz w:val="23"/>
                <w:szCs w:val="23"/>
              </w:rPr>
              <w:t>English Discussion Class: British Sports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4" w:type="dxa"/>
            <w:gridSpan w:val="2"/>
            <w:vMerge w:val="continue"/>
            <w:tcBorders>
              <w:top w:val="single" w:color="8EAADB" w:themeColor="accent1" w:themeTint="99" w:sz="4" w:space="0"/>
              <w:bottom w:val="single" w:color="8EAADB" w:themeColor="accent1" w:themeTint="99" w:sz="4" w:space="0"/>
            </w:tcBorders>
            <w:vAlign w:val="center"/>
          </w:tcPr>
          <w:p>
            <w:pPr>
              <w:jc w:val="center"/>
              <w:rPr>
                <w:rFonts w:ascii="Calibri" w:hAnsi="Calibri" w:cs="Calibri"/>
                <w:sz w:val="23"/>
                <w:szCs w:val="23"/>
              </w:rPr>
            </w:pPr>
          </w:p>
        </w:tc>
        <w:tc>
          <w:tcPr>
            <w:tcW w:w="1595" w:type="dxa"/>
            <w:gridSpan w:val="2"/>
            <w:tcBorders>
              <w:top w:val="single" w:color="8EAADB" w:themeColor="accent1" w:themeTint="99" w:sz="4" w:space="0"/>
              <w:bottom w:val="single" w:color="8EAADB" w:themeColor="accent1" w:themeTint="99" w:sz="4" w:space="0"/>
            </w:tcBorders>
            <w:vAlign w:val="center"/>
          </w:tcPr>
          <w:p>
            <w:pPr>
              <w:jc w:val="center"/>
              <w:rPr>
                <w:rFonts w:ascii="Calibri" w:hAnsi="Calibri" w:cs="Calibri"/>
                <w:sz w:val="23"/>
                <w:szCs w:val="23"/>
              </w:rPr>
            </w:pPr>
            <w:r>
              <w:rPr>
                <w:rFonts w:ascii="Calibri" w:hAnsi="Calibri" w:cs="Calibri"/>
                <w:sz w:val="23"/>
                <w:szCs w:val="23"/>
              </w:rPr>
              <w:t>120分钟</w:t>
            </w:r>
          </w:p>
        </w:tc>
        <w:tc>
          <w:tcPr>
            <w:tcW w:w="7085" w:type="dxa"/>
            <w:tcBorders>
              <w:top w:val="single" w:color="8EAADB" w:themeColor="accent1" w:themeTint="99" w:sz="4" w:space="0"/>
              <w:bottom w:val="single" w:color="8EAADB" w:themeColor="accent1" w:themeTint="99" w:sz="4" w:space="0"/>
            </w:tcBorders>
            <w:vAlign w:val="center"/>
          </w:tcPr>
          <w:p>
            <w:pPr>
              <w:rPr>
                <w:rFonts w:ascii="Calibri" w:hAnsi="Calibri" w:cs="Calibri"/>
                <w:b/>
                <w:bCs/>
                <w:sz w:val="23"/>
                <w:szCs w:val="23"/>
              </w:rPr>
            </w:pPr>
            <w:r>
              <w:rPr>
                <w:rFonts w:ascii="Calibri" w:hAnsi="Calibri" w:cs="Calibri"/>
                <w:b/>
                <w:bCs/>
                <w:sz w:val="23"/>
                <w:szCs w:val="23"/>
              </w:rPr>
              <w:t>专业学术课程：商业与金融</w:t>
            </w:r>
          </w:p>
          <w:p>
            <w:pPr>
              <w:rPr>
                <w:rFonts w:ascii="Calibri" w:hAnsi="Calibri" w:cs="Calibri"/>
                <w:sz w:val="23"/>
                <w:szCs w:val="23"/>
              </w:rPr>
            </w:pPr>
            <w:r>
              <w:rPr>
                <w:rFonts w:ascii="Calibri" w:hAnsi="Calibri" w:cs="Calibri"/>
                <w:sz w:val="23"/>
                <w:szCs w:val="23"/>
              </w:rPr>
              <w:t>Live Webinar Lecture: Business &amp; Finance</w:t>
            </w:r>
          </w:p>
          <w:p>
            <w:pPr>
              <w:rPr>
                <w:rFonts w:ascii="Calibri" w:hAnsi="Calibri" w:cs="Calibri"/>
                <w:b/>
                <w:bCs/>
                <w:sz w:val="23"/>
                <w:szCs w:val="23"/>
              </w:rPr>
            </w:pPr>
            <w:r>
              <w:rPr>
                <w:rFonts w:ascii="Calibri" w:hAnsi="Calibri" w:cs="Calibri"/>
                <w:b/>
                <w:bCs/>
                <w:sz w:val="23"/>
                <w:szCs w:val="23"/>
              </w:rPr>
              <w:t>问题与讨论</w:t>
            </w:r>
          </w:p>
          <w:p>
            <w:pPr>
              <w:rPr>
                <w:rFonts w:ascii="Calibri" w:hAnsi="Calibri" w:cs="Calibri"/>
                <w:sz w:val="23"/>
                <w:szCs w:val="23"/>
              </w:rPr>
            </w:pPr>
            <w:r>
              <w:rPr>
                <w:rFonts w:ascii="Calibri" w:hAnsi="Calibri" w:cs="Calibri"/>
                <w:sz w:val="23"/>
                <w:szCs w:val="23"/>
              </w:rPr>
              <w:t>Questions and Discussion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4" w:type="dxa"/>
            <w:gridSpan w:val="2"/>
            <w:vMerge w:val="restart"/>
            <w:tcBorders>
              <w:top w:val="single" w:color="8EAADB" w:themeColor="accent1" w:themeTint="99" w:sz="4" w:space="0"/>
              <w:bottom w:val="single" w:color="8EAADB" w:themeColor="accent1" w:themeTint="99" w:sz="4" w:space="0"/>
            </w:tcBorders>
            <w:vAlign w:val="center"/>
          </w:tcPr>
          <w:p>
            <w:pPr>
              <w:jc w:val="center"/>
              <w:rPr>
                <w:rFonts w:ascii="Calibri" w:hAnsi="Calibri" w:cs="Calibri"/>
                <w:sz w:val="23"/>
                <w:szCs w:val="23"/>
              </w:rPr>
            </w:pPr>
            <w:r>
              <w:rPr>
                <w:rFonts w:ascii="Calibri" w:hAnsi="Calibri" w:cs="Calibri"/>
                <w:sz w:val="23"/>
                <w:szCs w:val="23"/>
              </w:rPr>
              <w:t>第三天</w:t>
            </w:r>
          </w:p>
        </w:tc>
        <w:tc>
          <w:tcPr>
            <w:tcW w:w="1595" w:type="dxa"/>
            <w:gridSpan w:val="2"/>
            <w:tcBorders>
              <w:top w:val="single" w:color="8EAADB" w:themeColor="accent1" w:themeTint="99" w:sz="4" w:space="0"/>
              <w:bottom w:val="single" w:color="8EAADB" w:themeColor="accent1" w:themeTint="99" w:sz="4" w:space="0"/>
            </w:tcBorders>
            <w:vAlign w:val="center"/>
          </w:tcPr>
          <w:p>
            <w:pPr>
              <w:jc w:val="center"/>
              <w:rPr>
                <w:rFonts w:ascii="Calibri" w:hAnsi="Calibri" w:cs="Calibri"/>
                <w:sz w:val="23"/>
                <w:szCs w:val="23"/>
              </w:rPr>
            </w:pPr>
            <w:r>
              <w:rPr>
                <w:rFonts w:ascii="Calibri" w:hAnsi="Calibri" w:cs="Calibri"/>
                <w:sz w:val="23"/>
                <w:szCs w:val="23"/>
              </w:rPr>
              <w:t>60分钟</w:t>
            </w:r>
          </w:p>
        </w:tc>
        <w:tc>
          <w:tcPr>
            <w:tcW w:w="7085" w:type="dxa"/>
            <w:tcBorders>
              <w:top w:val="single" w:color="8EAADB" w:themeColor="accent1" w:themeTint="99" w:sz="4" w:space="0"/>
              <w:bottom w:val="single" w:color="8EAADB" w:themeColor="accent1" w:themeTint="99" w:sz="4" w:space="0"/>
            </w:tcBorders>
            <w:vAlign w:val="center"/>
          </w:tcPr>
          <w:p>
            <w:pPr>
              <w:rPr>
                <w:rFonts w:ascii="Calibri" w:hAnsi="Calibri" w:cs="Calibri"/>
                <w:sz w:val="23"/>
                <w:szCs w:val="23"/>
              </w:rPr>
            </w:pPr>
            <w:r>
              <w:rPr>
                <w:rFonts w:ascii="Calibri" w:hAnsi="Calibri" w:cs="Calibri"/>
                <w:b/>
                <w:bCs/>
                <w:sz w:val="23"/>
                <w:szCs w:val="23"/>
              </w:rPr>
              <w:t>英语研讨课：英国教育</w:t>
            </w:r>
          </w:p>
          <w:p>
            <w:pPr>
              <w:rPr>
                <w:rFonts w:ascii="Calibri" w:hAnsi="Calibri" w:cs="Calibri"/>
                <w:sz w:val="23"/>
                <w:szCs w:val="23"/>
              </w:rPr>
            </w:pPr>
            <w:r>
              <w:rPr>
                <w:rFonts w:ascii="Calibri" w:hAnsi="Calibri" w:cs="Calibri"/>
                <w:sz w:val="23"/>
                <w:szCs w:val="23"/>
              </w:rPr>
              <w:t>English Discussion Class: British Education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4" w:type="dxa"/>
            <w:gridSpan w:val="2"/>
            <w:vMerge w:val="continue"/>
            <w:tcBorders>
              <w:top w:val="single" w:color="8EAADB" w:themeColor="accent1" w:themeTint="99" w:sz="4" w:space="0"/>
              <w:bottom w:val="single" w:color="8EAADB" w:themeColor="accent1" w:themeTint="99" w:sz="4" w:space="0"/>
            </w:tcBorders>
            <w:vAlign w:val="center"/>
          </w:tcPr>
          <w:p>
            <w:pPr>
              <w:jc w:val="center"/>
              <w:rPr>
                <w:rFonts w:ascii="Calibri" w:hAnsi="Calibri" w:cs="Calibri"/>
                <w:sz w:val="23"/>
                <w:szCs w:val="23"/>
              </w:rPr>
            </w:pPr>
          </w:p>
        </w:tc>
        <w:tc>
          <w:tcPr>
            <w:tcW w:w="1595" w:type="dxa"/>
            <w:gridSpan w:val="2"/>
            <w:tcBorders>
              <w:top w:val="single" w:color="8EAADB" w:themeColor="accent1" w:themeTint="99" w:sz="4" w:space="0"/>
              <w:bottom w:val="single" w:color="8EAADB" w:themeColor="accent1" w:themeTint="99" w:sz="4" w:space="0"/>
            </w:tcBorders>
            <w:vAlign w:val="center"/>
          </w:tcPr>
          <w:p>
            <w:pPr>
              <w:jc w:val="center"/>
              <w:rPr>
                <w:rFonts w:ascii="Calibri" w:hAnsi="Calibri" w:cs="Calibri"/>
                <w:sz w:val="23"/>
                <w:szCs w:val="23"/>
              </w:rPr>
            </w:pPr>
            <w:r>
              <w:rPr>
                <w:rFonts w:ascii="Calibri" w:hAnsi="Calibri" w:cs="Calibri"/>
                <w:sz w:val="23"/>
                <w:szCs w:val="23"/>
              </w:rPr>
              <w:t>120分钟</w:t>
            </w:r>
          </w:p>
        </w:tc>
        <w:tc>
          <w:tcPr>
            <w:tcW w:w="7085" w:type="dxa"/>
            <w:tcBorders>
              <w:top w:val="single" w:color="8EAADB" w:themeColor="accent1" w:themeTint="99" w:sz="4" w:space="0"/>
              <w:bottom w:val="single" w:color="8EAADB" w:themeColor="accent1" w:themeTint="99" w:sz="4" w:space="0"/>
            </w:tcBorders>
            <w:vAlign w:val="center"/>
          </w:tcPr>
          <w:p>
            <w:pPr>
              <w:rPr>
                <w:rFonts w:ascii="Calibri" w:hAnsi="Calibri" w:cs="Calibri"/>
                <w:b/>
                <w:bCs/>
                <w:sz w:val="23"/>
                <w:szCs w:val="23"/>
              </w:rPr>
            </w:pPr>
            <w:r>
              <w:rPr>
                <w:rFonts w:ascii="Calibri" w:hAnsi="Calibri" w:cs="Calibri"/>
                <w:b/>
                <w:bCs/>
                <w:sz w:val="23"/>
                <w:szCs w:val="23"/>
              </w:rPr>
              <w:t>专业学术课程：国际法律</w:t>
            </w:r>
          </w:p>
          <w:p>
            <w:pPr>
              <w:rPr>
                <w:rFonts w:ascii="Calibri" w:hAnsi="Calibri" w:cs="Calibri"/>
                <w:sz w:val="23"/>
                <w:szCs w:val="23"/>
              </w:rPr>
            </w:pPr>
            <w:r>
              <w:rPr>
                <w:rFonts w:ascii="Calibri" w:hAnsi="Calibri" w:cs="Calibri"/>
                <w:sz w:val="23"/>
                <w:szCs w:val="23"/>
              </w:rPr>
              <w:t>Live Webinar Lecture: International Law</w:t>
            </w:r>
          </w:p>
          <w:p>
            <w:pPr>
              <w:rPr>
                <w:rFonts w:ascii="Calibri" w:hAnsi="Calibri" w:cs="Calibri"/>
                <w:b/>
                <w:bCs/>
                <w:sz w:val="23"/>
                <w:szCs w:val="23"/>
              </w:rPr>
            </w:pPr>
            <w:r>
              <w:rPr>
                <w:rFonts w:ascii="Calibri" w:hAnsi="Calibri" w:cs="Calibri"/>
                <w:b/>
                <w:bCs/>
                <w:sz w:val="23"/>
                <w:szCs w:val="23"/>
              </w:rPr>
              <w:t>问题与讨论</w:t>
            </w:r>
          </w:p>
          <w:p>
            <w:pPr>
              <w:rPr>
                <w:rFonts w:ascii="Calibri" w:hAnsi="Calibri" w:cs="Calibri"/>
                <w:sz w:val="23"/>
                <w:szCs w:val="23"/>
              </w:rPr>
            </w:pPr>
            <w:r>
              <w:rPr>
                <w:rFonts w:ascii="Calibri" w:hAnsi="Calibri" w:cs="Calibri"/>
                <w:sz w:val="23"/>
                <w:szCs w:val="23"/>
              </w:rPr>
              <w:t>Questions and Discussion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4" w:type="dxa"/>
            <w:gridSpan w:val="2"/>
            <w:vMerge w:val="restart"/>
            <w:tcBorders>
              <w:top w:val="single" w:color="8EAADB" w:themeColor="accent1" w:themeTint="99" w:sz="4" w:space="0"/>
              <w:bottom w:val="single" w:color="8EAADB" w:themeColor="accent1" w:themeTint="99" w:sz="4" w:space="0"/>
            </w:tcBorders>
            <w:vAlign w:val="center"/>
          </w:tcPr>
          <w:p>
            <w:pPr>
              <w:jc w:val="center"/>
              <w:rPr>
                <w:rFonts w:ascii="Calibri" w:hAnsi="Calibri" w:cs="Calibri"/>
                <w:sz w:val="23"/>
                <w:szCs w:val="23"/>
              </w:rPr>
            </w:pPr>
            <w:r>
              <w:rPr>
                <w:rFonts w:ascii="Calibri" w:hAnsi="Calibri" w:cs="Calibri"/>
                <w:sz w:val="23"/>
                <w:szCs w:val="23"/>
              </w:rPr>
              <w:t>第四天</w:t>
            </w:r>
          </w:p>
        </w:tc>
        <w:tc>
          <w:tcPr>
            <w:tcW w:w="1595" w:type="dxa"/>
            <w:gridSpan w:val="2"/>
            <w:tcBorders>
              <w:top w:val="single" w:color="8EAADB" w:themeColor="accent1" w:themeTint="99" w:sz="4" w:space="0"/>
              <w:bottom w:val="single" w:color="8EAADB" w:themeColor="accent1" w:themeTint="99" w:sz="4" w:space="0"/>
            </w:tcBorders>
            <w:vAlign w:val="center"/>
          </w:tcPr>
          <w:p>
            <w:pPr>
              <w:jc w:val="center"/>
              <w:rPr>
                <w:rFonts w:ascii="Calibri" w:hAnsi="Calibri" w:cs="Calibri"/>
                <w:sz w:val="23"/>
                <w:szCs w:val="23"/>
              </w:rPr>
            </w:pPr>
            <w:r>
              <w:rPr>
                <w:rFonts w:ascii="Calibri" w:hAnsi="Calibri" w:cs="Calibri"/>
                <w:sz w:val="23"/>
                <w:szCs w:val="23"/>
              </w:rPr>
              <w:t>60分钟</w:t>
            </w:r>
          </w:p>
        </w:tc>
        <w:tc>
          <w:tcPr>
            <w:tcW w:w="7085" w:type="dxa"/>
            <w:tcBorders>
              <w:top w:val="single" w:color="8EAADB" w:themeColor="accent1" w:themeTint="99" w:sz="4" w:space="0"/>
              <w:bottom w:val="single" w:color="8EAADB" w:themeColor="accent1" w:themeTint="99" w:sz="4" w:space="0"/>
            </w:tcBorders>
            <w:vAlign w:val="center"/>
          </w:tcPr>
          <w:p>
            <w:pPr>
              <w:rPr>
                <w:rFonts w:ascii="Calibri" w:hAnsi="Calibri" w:cs="Calibri"/>
                <w:sz w:val="23"/>
                <w:szCs w:val="23"/>
              </w:rPr>
            </w:pPr>
            <w:r>
              <w:rPr>
                <w:rFonts w:ascii="Calibri" w:hAnsi="Calibri" w:cs="Calibri"/>
                <w:b/>
                <w:bCs/>
                <w:sz w:val="23"/>
                <w:szCs w:val="23"/>
              </w:rPr>
              <w:t>英语研讨课：如何成为好的领导者</w:t>
            </w:r>
          </w:p>
          <w:p>
            <w:pPr>
              <w:rPr>
                <w:rFonts w:ascii="Calibri" w:hAnsi="Calibri" w:cs="Calibri"/>
                <w:sz w:val="23"/>
                <w:szCs w:val="23"/>
              </w:rPr>
            </w:pPr>
            <w:r>
              <w:rPr>
                <w:rFonts w:ascii="Calibri" w:hAnsi="Calibri" w:cs="Calibri"/>
                <w:sz w:val="23"/>
                <w:szCs w:val="23"/>
              </w:rPr>
              <w:t>English Discussion Class: What Makes A Great Leader?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4" w:type="dxa"/>
            <w:gridSpan w:val="2"/>
            <w:vMerge w:val="continue"/>
            <w:tcBorders>
              <w:top w:val="single" w:color="8EAADB" w:themeColor="accent1" w:themeTint="99" w:sz="4" w:space="0"/>
              <w:bottom w:val="single" w:color="8EAADB" w:themeColor="accent1" w:themeTint="99" w:sz="4" w:space="0"/>
            </w:tcBorders>
            <w:vAlign w:val="center"/>
          </w:tcPr>
          <w:p>
            <w:pPr>
              <w:jc w:val="center"/>
              <w:rPr>
                <w:rFonts w:ascii="Calibri" w:hAnsi="Calibri" w:cs="Calibri"/>
                <w:sz w:val="23"/>
                <w:szCs w:val="23"/>
              </w:rPr>
            </w:pPr>
          </w:p>
        </w:tc>
        <w:tc>
          <w:tcPr>
            <w:tcW w:w="1595" w:type="dxa"/>
            <w:gridSpan w:val="2"/>
            <w:tcBorders>
              <w:top w:val="single" w:color="8EAADB" w:themeColor="accent1" w:themeTint="99" w:sz="4" w:space="0"/>
              <w:bottom w:val="single" w:color="8EAADB" w:themeColor="accent1" w:themeTint="99" w:sz="4" w:space="0"/>
            </w:tcBorders>
            <w:vAlign w:val="center"/>
          </w:tcPr>
          <w:p>
            <w:pPr>
              <w:jc w:val="center"/>
              <w:rPr>
                <w:rFonts w:ascii="Calibri" w:hAnsi="Calibri" w:cs="Calibri"/>
                <w:sz w:val="23"/>
                <w:szCs w:val="23"/>
              </w:rPr>
            </w:pPr>
            <w:r>
              <w:rPr>
                <w:rFonts w:ascii="Calibri" w:hAnsi="Calibri" w:cs="Calibri"/>
                <w:sz w:val="23"/>
                <w:szCs w:val="23"/>
              </w:rPr>
              <w:t>120分钟</w:t>
            </w:r>
          </w:p>
        </w:tc>
        <w:tc>
          <w:tcPr>
            <w:tcW w:w="7085" w:type="dxa"/>
            <w:tcBorders>
              <w:top w:val="single" w:color="8EAADB" w:themeColor="accent1" w:themeTint="99" w:sz="4" w:space="0"/>
              <w:bottom w:val="single" w:color="8EAADB" w:themeColor="accent1" w:themeTint="99" w:sz="4" w:space="0"/>
            </w:tcBorders>
            <w:vAlign w:val="center"/>
          </w:tcPr>
          <w:p>
            <w:pPr>
              <w:rPr>
                <w:rFonts w:ascii="Calibri" w:hAnsi="Calibri" w:cs="Calibri"/>
                <w:b/>
                <w:bCs/>
                <w:sz w:val="23"/>
                <w:szCs w:val="23"/>
              </w:rPr>
            </w:pPr>
            <w:r>
              <w:rPr>
                <w:rFonts w:ascii="Calibri" w:hAnsi="Calibri" w:cs="Calibri"/>
                <w:b/>
                <w:bCs/>
                <w:sz w:val="23"/>
                <w:szCs w:val="23"/>
              </w:rPr>
              <w:t>专业学术课程：可持续领导力</w:t>
            </w:r>
          </w:p>
          <w:p>
            <w:pPr>
              <w:rPr>
                <w:rFonts w:ascii="Calibri" w:hAnsi="Calibri" w:cs="Calibri"/>
                <w:sz w:val="23"/>
                <w:szCs w:val="23"/>
              </w:rPr>
            </w:pPr>
            <w:r>
              <w:rPr>
                <w:rFonts w:ascii="Calibri" w:hAnsi="Calibri" w:cs="Calibri"/>
                <w:sz w:val="23"/>
                <w:szCs w:val="23"/>
              </w:rPr>
              <w:t>Live Webinar Lecture: Sustainability Leadership</w:t>
            </w:r>
          </w:p>
          <w:p>
            <w:pPr>
              <w:rPr>
                <w:rFonts w:ascii="Calibri" w:hAnsi="Calibri" w:cs="Calibri"/>
                <w:b/>
                <w:bCs/>
                <w:sz w:val="23"/>
                <w:szCs w:val="23"/>
              </w:rPr>
            </w:pPr>
            <w:r>
              <w:rPr>
                <w:rFonts w:ascii="Calibri" w:hAnsi="Calibri" w:cs="Calibri"/>
                <w:b/>
                <w:bCs/>
                <w:sz w:val="23"/>
                <w:szCs w:val="23"/>
              </w:rPr>
              <w:t>问题与讨论</w:t>
            </w:r>
          </w:p>
          <w:p>
            <w:pPr>
              <w:rPr>
                <w:rFonts w:ascii="Calibri" w:hAnsi="Calibri" w:cs="Calibri"/>
                <w:sz w:val="23"/>
                <w:szCs w:val="23"/>
              </w:rPr>
            </w:pPr>
            <w:r>
              <w:rPr>
                <w:rFonts w:ascii="Calibri" w:hAnsi="Calibri" w:cs="Calibri"/>
                <w:sz w:val="23"/>
                <w:szCs w:val="23"/>
              </w:rPr>
              <w:t>Questions and Discussion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4" w:type="dxa"/>
            <w:gridSpan w:val="2"/>
            <w:vMerge w:val="restart"/>
            <w:tcBorders>
              <w:top w:val="single" w:color="8EAADB" w:themeColor="accent1" w:themeTint="99" w:sz="4" w:space="0"/>
              <w:bottom w:val="single" w:color="8EAADB" w:themeColor="accent1" w:themeTint="99" w:sz="4" w:space="0"/>
            </w:tcBorders>
            <w:vAlign w:val="center"/>
          </w:tcPr>
          <w:p>
            <w:pPr>
              <w:jc w:val="center"/>
              <w:rPr>
                <w:rFonts w:ascii="Calibri" w:hAnsi="Calibri" w:cs="Calibri"/>
                <w:sz w:val="23"/>
                <w:szCs w:val="23"/>
              </w:rPr>
            </w:pPr>
            <w:r>
              <w:rPr>
                <w:rFonts w:ascii="Calibri" w:hAnsi="Calibri" w:cs="Calibri"/>
                <w:sz w:val="23"/>
                <w:szCs w:val="23"/>
              </w:rPr>
              <w:t>第五天</w:t>
            </w:r>
          </w:p>
        </w:tc>
        <w:tc>
          <w:tcPr>
            <w:tcW w:w="1595" w:type="dxa"/>
            <w:gridSpan w:val="2"/>
            <w:tcBorders>
              <w:top w:val="single" w:color="8EAADB" w:themeColor="accent1" w:themeTint="99" w:sz="4" w:space="0"/>
              <w:bottom w:val="single" w:color="8EAADB" w:themeColor="accent1" w:themeTint="99" w:sz="4" w:space="0"/>
            </w:tcBorders>
            <w:vAlign w:val="center"/>
          </w:tcPr>
          <w:p>
            <w:pPr>
              <w:jc w:val="center"/>
              <w:rPr>
                <w:rFonts w:ascii="Calibri" w:hAnsi="Calibri" w:cs="Calibri"/>
                <w:sz w:val="23"/>
                <w:szCs w:val="23"/>
              </w:rPr>
            </w:pPr>
            <w:r>
              <w:rPr>
                <w:rFonts w:ascii="Calibri" w:hAnsi="Calibri" w:cs="Calibri"/>
                <w:sz w:val="23"/>
                <w:szCs w:val="23"/>
              </w:rPr>
              <w:t>60分钟</w:t>
            </w:r>
          </w:p>
        </w:tc>
        <w:tc>
          <w:tcPr>
            <w:tcW w:w="7085" w:type="dxa"/>
            <w:tcBorders>
              <w:top w:val="single" w:color="8EAADB" w:themeColor="accent1" w:themeTint="99" w:sz="4" w:space="0"/>
              <w:bottom w:val="single" w:color="8EAADB" w:themeColor="accent1" w:themeTint="99" w:sz="4" w:space="0"/>
            </w:tcBorders>
            <w:vAlign w:val="center"/>
          </w:tcPr>
          <w:p>
            <w:pPr>
              <w:rPr>
                <w:rFonts w:ascii="Calibri" w:hAnsi="Calibri" w:cs="Calibri"/>
                <w:sz w:val="23"/>
                <w:szCs w:val="23"/>
              </w:rPr>
            </w:pPr>
            <w:r>
              <w:rPr>
                <w:rFonts w:ascii="Calibri" w:hAnsi="Calibri" w:cs="Calibri"/>
                <w:b/>
                <w:bCs/>
                <w:sz w:val="23"/>
                <w:szCs w:val="23"/>
              </w:rPr>
              <w:t>英语研讨课：英国法律</w:t>
            </w:r>
          </w:p>
          <w:p>
            <w:pPr>
              <w:rPr>
                <w:rFonts w:ascii="Calibri" w:hAnsi="Calibri" w:cs="Calibri"/>
                <w:sz w:val="23"/>
                <w:szCs w:val="23"/>
              </w:rPr>
            </w:pPr>
            <w:r>
              <w:rPr>
                <w:rFonts w:ascii="Calibri" w:hAnsi="Calibri" w:cs="Calibri"/>
                <w:sz w:val="23"/>
                <w:szCs w:val="23"/>
              </w:rPr>
              <w:t>English Discussion Class: British Law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4" w:type="dxa"/>
            <w:gridSpan w:val="2"/>
            <w:vMerge w:val="continue"/>
            <w:tcBorders>
              <w:top w:val="single" w:color="8EAADB" w:themeColor="accent1" w:themeTint="99" w:sz="4" w:space="0"/>
              <w:bottom w:val="single" w:color="8EAADB" w:themeColor="accent1" w:themeTint="99" w:sz="4" w:space="0"/>
            </w:tcBorders>
            <w:vAlign w:val="center"/>
          </w:tcPr>
          <w:p>
            <w:pPr>
              <w:jc w:val="center"/>
              <w:rPr>
                <w:rFonts w:ascii="Calibri" w:hAnsi="Calibri" w:cs="Calibri"/>
                <w:sz w:val="23"/>
                <w:szCs w:val="23"/>
              </w:rPr>
            </w:pPr>
          </w:p>
        </w:tc>
        <w:tc>
          <w:tcPr>
            <w:tcW w:w="1595" w:type="dxa"/>
            <w:gridSpan w:val="2"/>
            <w:tcBorders>
              <w:top w:val="single" w:color="8EAADB" w:themeColor="accent1" w:themeTint="99" w:sz="4" w:space="0"/>
              <w:bottom w:val="single" w:color="8EAADB" w:themeColor="accent1" w:themeTint="99" w:sz="4" w:space="0"/>
            </w:tcBorders>
            <w:vAlign w:val="center"/>
          </w:tcPr>
          <w:p>
            <w:pPr>
              <w:jc w:val="center"/>
              <w:rPr>
                <w:rFonts w:ascii="Calibri" w:hAnsi="Calibri" w:cs="Calibri"/>
                <w:sz w:val="23"/>
                <w:szCs w:val="23"/>
              </w:rPr>
            </w:pPr>
            <w:r>
              <w:rPr>
                <w:rFonts w:ascii="Calibri" w:hAnsi="Calibri" w:cs="Calibri"/>
                <w:sz w:val="23"/>
                <w:szCs w:val="23"/>
              </w:rPr>
              <w:t>120分钟</w:t>
            </w:r>
          </w:p>
        </w:tc>
        <w:tc>
          <w:tcPr>
            <w:tcW w:w="7085" w:type="dxa"/>
            <w:tcBorders>
              <w:top w:val="single" w:color="8EAADB" w:themeColor="accent1" w:themeTint="99" w:sz="4" w:space="0"/>
              <w:bottom w:val="single" w:color="8EAADB" w:themeColor="accent1" w:themeTint="99" w:sz="4" w:space="0"/>
            </w:tcBorders>
            <w:vAlign w:val="center"/>
          </w:tcPr>
          <w:p>
            <w:pPr>
              <w:rPr>
                <w:rFonts w:ascii="Calibri" w:hAnsi="Calibri" w:cs="Calibri"/>
                <w:b/>
                <w:bCs/>
                <w:sz w:val="23"/>
                <w:szCs w:val="23"/>
              </w:rPr>
            </w:pPr>
            <w:r>
              <w:rPr>
                <w:rFonts w:ascii="Calibri" w:hAnsi="Calibri" w:cs="Calibri"/>
                <w:b/>
                <w:bCs/>
                <w:sz w:val="23"/>
                <w:szCs w:val="23"/>
              </w:rPr>
              <w:t>结业汇报准备：公众演讲练习工作坊</w:t>
            </w:r>
          </w:p>
          <w:p>
            <w:pPr>
              <w:rPr>
                <w:rFonts w:ascii="Calibri" w:hAnsi="Calibri" w:cs="Calibri"/>
                <w:sz w:val="23"/>
                <w:szCs w:val="23"/>
              </w:rPr>
            </w:pPr>
            <w:r>
              <w:rPr>
                <w:rFonts w:ascii="Calibri" w:hAnsi="Calibri" w:cs="Calibri"/>
                <w:sz w:val="23"/>
                <w:szCs w:val="23"/>
              </w:rPr>
              <w:t>Individual Speech Preparation: Final Workshop to Practice Speech</w:t>
            </w:r>
          </w:p>
          <w:p>
            <w:pPr>
              <w:rPr>
                <w:rFonts w:ascii="Calibri" w:hAnsi="Calibri" w:cs="Calibri"/>
                <w:b/>
                <w:bCs/>
                <w:sz w:val="23"/>
                <w:szCs w:val="23"/>
              </w:rPr>
            </w:pPr>
            <w:r>
              <w:rPr>
                <w:rFonts w:ascii="Calibri" w:hAnsi="Calibri" w:cs="Calibri"/>
                <w:b/>
                <w:bCs/>
                <w:sz w:val="23"/>
                <w:szCs w:val="23"/>
              </w:rPr>
              <w:t>结业汇报</w:t>
            </w:r>
          </w:p>
          <w:p>
            <w:pPr>
              <w:rPr>
                <w:rFonts w:ascii="Calibri" w:hAnsi="Calibri" w:cs="Calibri"/>
                <w:sz w:val="23"/>
                <w:szCs w:val="23"/>
              </w:rPr>
            </w:pPr>
            <w:r>
              <w:rPr>
                <w:rFonts w:ascii="Calibri" w:hAnsi="Calibri" w:cs="Calibri"/>
                <w:sz w:val="23"/>
                <w:szCs w:val="23"/>
              </w:rPr>
              <w:t>Final Individual Presentations: Students Make Final Presentations to Class/ Teachers</w:t>
            </w:r>
          </w:p>
        </w:tc>
      </w:tr>
      <w:bookmarkEnd w:id="4"/>
    </w:tbl>
    <w:p>
      <w:pPr>
        <w:widowControl/>
        <w:spacing w:line="20" w:lineRule="exact"/>
        <w:jc w:val="left"/>
        <w:rPr>
          <w:rFonts w:ascii="Calibri" w:hAnsi="Calibri" w:cs="Calibri"/>
        </w:rPr>
      </w:pPr>
    </w:p>
    <w:sectPr>
      <w:footerReference r:id="rId3" w:type="default"/>
      <w:pgSz w:w="11906" w:h="16838"/>
      <w:pgMar w:top="851" w:right="851" w:bottom="851" w:left="851" w:header="851"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b/>
        <w:bCs/>
        <w:color w:val="0071BC"/>
      </w:rPr>
      <w:id w:val="184331246"/>
      <w:docPartObj>
        <w:docPartGallery w:val="autotext"/>
      </w:docPartObj>
    </w:sdtPr>
    <w:sdtEndPr>
      <w:rPr>
        <w:b/>
        <w:bCs/>
        <w:color w:val="0071BC"/>
        <w:sz w:val="20"/>
        <w:szCs w:val="20"/>
      </w:rPr>
    </w:sdtEndPr>
    <w:sdtContent>
      <w:p>
        <w:pPr>
          <w:pStyle w:val="3"/>
          <w:jc w:val="right"/>
          <w:rPr>
            <w:b/>
            <w:bCs/>
            <w:color w:val="0071BC"/>
            <w:sz w:val="20"/>
            <w:szCs w:val="20"/>
          </w:rPr>
        </w:pPr>
        <w:r>
          <w:rPr>
            <w:b/>
            <w:bCs/>
            <w:color w:val="0071BC"/>
            <w:sz w:val="20"/>
            <w:szCs w:val="20"/>
          </w:rPr>
          <w:fldChar w:fldCharType="begin"/>
        </w:r>
        <w:r>
          <w:rPr>
            <w:b/>
            <w:bCs/>
            <w:color w:val="0071BC"/>
            <w:sz w:val="20"/>
            <w:szCs w:val="20"/>
          </w:rPr>
          <w:instrText xml:space="preserve">PAGE   \* MERGEFORMAT</w:instrText>
        </w:r>
        <w:r>
          <w:rPr>
            <w:b/>
            <w:bCs/>
            <w:color w:val="0071BC"/>
            <w:sz w:val="20"/>
            <w:szCs w:val="20"/>
          </w:rPr>
          <w:fldChar w:fldCharType="separate"/>
        </w:r>
        <w:r>
          <w:rPr>
            <w:b/>
            <w:bCs/>
            <w:color w:val="0071BC"/>
            <w:sz w:val="20"/>
            <w:szCs w:val="20"/>
            <w:lang w:val="zh-CN"/>
          </w:rPr>
          <w:t>2</w:t>
        </w:r>
        <w:r>
          <w:rPr>
            <w:b/>
            <w:bCs/>
            <w:color w:val="0071BC"/>
            <w:sz w:val="20"/>
            <w:szCs w:val="20"/>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20653"/>
    <w:multiLevelType w:val="multilevel"/>
    <w:tmpl w:val="07F2065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4717ED6"/>
    <w:multiLevelType w:val="multilevel"/>
    <w:tmpl w:val="34717ED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2132F28"/>
    <w:multiLevelType w:val="multilevel"/>
    <w:tmpl w:val="62132F2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E70"/>
    <w:rsid w:val="00000BD8"/>
    <w:rsid w:val="00001591"/>
    <w:rsid w:val="00011CBE"/>
    <w:rsid w:val="0001265F"/>
    <w:rsid w:val="00020B39"/>
    <w:rsid w:val="000272E7"/>
    <w:rsid w:val="000478BC"/>
    <w:rsid w:val="000555D8"/>
    <w:rsid w:val="00057A8D"/>
    <w:rsid w:val="00062F43"/>
    <w:rsid w:val="00064A2D"/>
    <w:rsid w:val="000679FF"/>
    <w:rsid w:val="00067F05"/>
    <w:rsid w:val="00070932"/>
    <w:rsid w:val="0007366E"/>
    <w:rsid w:val="00076C4C"/>
    <w:rsid w:val="00080953"/>
    <w:rsid w:val="00082B64"/>
    <w:rsid w:val="00085D80"/>
    <w:rsid w:val="0008638C"/>
    <w:rsid w:val="00087CA1"/>
    <w:rsid w:val="00087D04"/>
    <w:rsid w:val="00090EA0"/>
    <w:rsid w:val="000978E3"/>
    <w:rsid w:val="000B23C9"/>
    <w:rsid w:val="000B73C4"/>
    <w:rsid w:val="000C1BAE"/>
    <w:rsid w:val="000C7454"/>
    <w:rsid w:val="000D15AA"/>
    <w:rsid w:val="000E1818"/>
    <w:rsid w:val="000E4E67"/>
    <w:rsid w:val="000F60D9"/>
    <w:rsid w:val="000F79A6"/>
    <w:rsid w:val="00105F1A"/>
    <w:rsid w:val="0010614C"/>
    <w:rsid w:val="00107E90"/>
    <w:rsid w:val="00111EDB"/>
    <w:rsid w:val="00115213"/>
    <w:rsid w:val="00117628"/>
    <w:rsid w:val="001251F3"/>
    <w:rsid w:val="00131846"/>
    <w:rsid w:val="0013218F"/>
    <w:rsid w:val="00136A9A"/>
    <w:rsid w:val="00147E60"/>
    <w:rsid w:val="00153219"/>
    <w:rsid w:val="00186643"/>
    <w:rsid w:val="00187088"/>
    <w:rsid w:val="00191A98"/>
    <w:rsid w:val="00193FEE"/>
    <w:rsid w:val="001A05DC"/>
    <w:rsid w:val="001C1473"/>
    <w:rsid w:val="001C2314"/>
    <w:rsid w:val="001D5988"/>
    <w:rsid w:val="001E2F17"/>
    <w:rsid w:val="001E3E9D"/>
    <w:rsid w:val="001F39FA"/>
    <w:rsid w:val="00200355"/>
    <w:rsid w:val="00210686"/>
    <w:rsid w:val="002124C5"/>
    <w:rsid w:val="00213ED2"/>
    <w:rsid w:val="00215EBE"/>
    <w:rsid w:val="0021637B"/>
    <w:rsid w:val="002206A2"/>
    <w:rsid w:val="00221190"/>
    <w:rsid w:val="002214A3"/>
    <w:rsid w:val="0022497D"/>
    <w:rsid w:val="00225664"/>
    <w:rsid w:val="002303E8"/>
    <w:rsid w:val="00234420"/>
    <w:rsid w:val="00240669"/>
    <w:rsid w:val="00256F3A"/>
    <w:rsid w:val="002571CD"/>
    <w:rsid w:val="002642CF"/>
    <w:rsid w:val="002726E3"/>
    <w:rsid w:val="00273012"/>
    <w:rsid w:val="00275E1E"/>
    <w:rsid w:val="00281C55"/>
    <w:rsid w:val="00292824"/>
    <w:rsid w:val="00292B9E"/>
    <w:rsid w:val="00295D89"/>
    <w:rsid w:val="002B5456"/>
    <w:rsid w:val="002D5975"/>
    <w:rsid w:val="002D6F96"/>
    <w:rsid w:val="002E5961"/>
    <w:rsid w:val="002F283F"/>
    <w:rsid w:val="003022CF"/>
    <w:rsid w:val="003035D4"/>
    <w:rsid w:val="00306480"/>
    <w:rsid w:val="00311F67"/>
    <w:rsid w:val="003124C6"/>
    <w:rsid w:val="00332DBD"/>
    <w:rsid w:val="00340A36"/>
    <w:rsid w:val="003413FA"/>
    <w:rsid w:val="00352680"/>
    <w:rsid w:val="00353204"/>
    <w:rsid w:val="0036563E"/>
    <w:rsid w:val="003907AE"/>
    <w:rsid w:val="00390BA2"/>
    <w:rsid w:val="0039592E"/>
    <w:rsid w:val="003A58F7"/>
    <w:rsid w:val="003B1EA7"/>
    <w:rsid w:val="003C0366"/>
    <w:rsid w:val="003C05A1"/>
    <w:rsid w:val="003C2BCE"/>
    <w:rsid w:val="003D0FB0"/>
    <w:rsid w:val="003E5FDE"/>
    <w:rsid w:val="00401607"/>
    <w:rsid w:val="00406966"/>
    <w:rsid w:val="004170B6"/>
    <w:rsid w:val="004254EB"/>
    <w:rsid w:val="00431C60"/>
    <w:rsid w:val="00443581"/>
    <w:rsid w:val="004804C9"/>
    <w:rsid w:val="00486F40"/>
    <w:rsid w:val="004A6065"/>
    <w:rsid w:val="004C77B0"/>
    <w:rsid w:val="004D3BC7"/>
    <w:rsid w:val="004D3DB6"/>
    <w:rsid w:val="004D7717"/>
    <w:rsid w:val="004E2CAA"/>
    <w:rsid w:val="004E56B1"/>
    <w:rsid w:val="004E56EF"/>
    <w:rsid w:val="004E6E92"/>
    <w:rsid w:val="004F1896"/>
    <w:rsid w:val="004F194B"/>
    <w:rsid w:val="005001A1"/>
    <w:rsid w:val="00502B4B"/>
    <w:rsid w:val="00522B8A"/>
    <w:rsid w:val="00522C90"/>
    <w:rsid w:val="00543E09"/>
    <w:rsid w:val="0054547A"/>
    <w:rsid w:val="0054754B"/>
    <w:rsid w:val="005504D7"/>
    <w:rsid w:val="00554DA0"/>
    <w:rsid w:val="00564404"/>
    <w:rsid w:val="005672E2"/>
    <w:rsid w:val="00567DBC"/>
    <w:rsid w:val="005702B5"/>
    <w:rsid w:val="00575F8C"/>
    <w:rsid w:val="00590B8D"/>
    <w:rsid w:val="005A2568"/>
    <w:rsid w:val="005B1CB9"/>
    <w:rsid w:val="005D5E39"/>
    <w:rsid w:val="005E6ADC"/>
    <w:rsid w:val="005F2F7B"/>
    <w:rsid w:val="005F3B10"/>
    <w:rsid w:val="005F4E70"/>
    <w:rsid w:val="00600F3C"/>
    <w:rsid w:val="00602EBD"/>
    <w:rsid w:val="0062602D"/>
    <w:rsid w:val="00633678"/>
    <w:rsid w:val="006351AF"/>
    <w:rsid w:val="00644747"/>
    <w:rsid w:val="00644869"/>
    <w:rsid w:val="0064604C"/>
    <w:rsid w:val="0065789E"/>
    <w:rsid w:val="00660FD4"/>
    <w:rsid w:val="00675B21"/>
    <w:rsid w:val="00680BCA"/>
    <w:rsid w:val="0068503B"/>
    <w:rsid w:val="006A0B46"/>
    <w:rsid w:val="006A0C3C"/>
    <w:rsid w:val="006B51D2"/>
    <w:rsid w:val="006C70FE"/>
    <w:rsid w:val="006C73C0"/>
    <w:rsid w:val="006D5269"/>
    <w:rsid w:val="006F006F"/>
    <w:rsid w:val="006F2369"/>
    <w:rsid w:val="006F352F"/>
    <w:rsid w:val="006F41D8"/>
    <w:rsid w:val="006F7095"/>
    <w:rsid w:val="00720934"/>
    <w:rsid w:val="00720DD7"/>
    <w:rsid w:val="00721A5F"/>
    <w:rsid w:val="00724571"/>
    <w:rsid w:val="007327E0"/>
    <w:rsid w:val="00744747"/>
    <w:rsid w:val="0075336C"/>
    <w:rsid w:val="007620B4"/>
    <w:rsid w:val="007623C6"/>
    <w:rsid w:val="0076764C"/>
    <w:rsid w:val="0077709A"/>
    <w:rsid w:val="007902F0"/>
    <w:rsid w:val="00791CB2"/>
    <w:rsid w:val="007A1944"/>
    <w:rsid w:val="007A78B8"/>
    <w:rsid w:val="007D5085"/>
    <w:rsid w:val="007E1B7F"/>
    <w:rsid w:val="007E1EAA"/>
    <w:rsid w:val="007E2588"/>
    <w:rsid w:val="007E41B9"/>
    <w:rsid w:val="007F29F5"/>
    <w:rsid w:val="007F2ABE"/>
    <w:rsid w:val="008008B9"/>
    <w:rsid w:val="00800C1F"/>
    <w:rsid w:val="00806921"/>
    <w:rsid w:val="008218CF"/>
    <w:rsid w:val="00822119"/>
    <w:rsid w:val="008239F7"/>
    <w:rsid w:val="0083222A"/>
    <w:rsid w:val="00852F22"/>
    <w:rsid w:val="00853FB7"/>
    <w:rsid w:val="008542CA"/>
    <w:rsid w:val="00875215"/>
    <w:rsid w:val="00880225"/>
    <w:rsid w:val="00883A44"/>
    <w:rsid w:val="00887412"/>
    <w:rsid w:val="008933F5"/>
    <w:rsid w:val="008A45F9"/>
    <w:rsid w:val="008B3E56"/>
    <w:rsid w:val="008C17C6"/>
    <w:rsid w:val="008D3CFA"/>
    <w:rsid w:val="008D4031"/>
    <w:rsid w:val="00901BF1"/>
    <w:rsid w:val="0090455F"/>
    <w:rsid w:val="00906F68"/>
    <w:rsid w:val="009119FB"/>
    <w:rsid w:val="00915948"/>
    <w:rsid w:val="0092685E"/>
    <w:rsid w:val="00931A2C"/>
    <w:rsid w:val="0093769E"/>
    <w:rsid w:val="009504B4"/>
    <w:rsid w:val="00951CA0"/>
    <w:rsid w:val="00956FC8"/>
    <w:rsid w:val="0096371F"/>
    <w:rsid w:val="009647BD"/>
    <w:rsid w:val="00966C1D"/>
    <w:rsid w:val="009704F5"/>
    <w:rsid w:val="00977591"/>
    <w:rsid w:val="00981768"/>
    <w:rsid w:val="00982108"/>
    <w:rsid w:val="00985EE5"/>
    <w:rsid w:val="00986592"/>
    <w:rsid w:val="009932FC"/>
    <w:rsid w:val="00993BE5"/>
    <w:rsid w:val="0099619D"/>
    <w:rsid w:val="00997736"/>
    <w:rsid w:val="009A3890"/>
    <w:rsid w:val="009A581F"/>
    <w:rsid w:val="009B3C49"/>
    <w:rsid w:val="009B5440"/>
    <w:rsid w:val="009C0CF6"/>
    <w:rsid w:val="009C4A68"/>
    <w:rsid w:val="009C5DFC"/>
    <w:rsid w:val="009E0CF1"/>
    <w:rsid w:val="009E19ED"/>
    <w:rsid w:val="009E4915"/>
    <w:rsid w:val="009E617D"/>
    <w:rsid w:val="00A02A1D"/>
    <w:rsid w:val="00A15F0C"/>
    <w:rsid w:val="00A45D8D"/>
    <w:rsid w:val="00A533A8"/>
    <w:rsid w:val="00A551F2"/>
    <w:rsid w:val="00A63B26"/>
    <w:rsid w:val="00A72F0A"/>
    <w:rsid w:val="00A92C45"/>
    <w:rsid w:val="00A9305D"/>
    <w:rsid w:val="00A95AF7"/>
    <w:rsid w:val="00AA1D69"/>
    <w:rsid w:val="00AB0510"/>
    <w:rsid w:val="00AB5286"/>
    <w:rsid w:val="00AB583B"/>
    <w:rsid w:val="00AB682F"/>
    <w:rsid w:val="00AC44AD"/>
    <w:rsid w:val="00AD104B"/>
    <w:rsid w:val="00AE4E15"/>
    <w:rsid w:val="00AF3162"/>
    <w:rsid w:val="00AF660E"/>
    <w:rsid w:val="00B02453"/>
    <w:rsid w:val="00B05165"/>
    <w:rsid w:val="00B05BAE"/>
    <w:rsid w:val="00B23D99"/>
    <w:rsid w:val="00B24C6D"/>
    <w:rsid w:val="00B26EC7"/>
    <w:rsid w:val="00B27815"/>
    <w:rsid w:val="00B324BD"/>
    <w:rsid w:val="00B33F05"/>
    <w:rsid w:val="00B34B14"/>
    <w:rsid w:val="00B3605A"/>
    <w:rsid w:val="00B37A74"/>
    <w:rsid w:val="00B40904"/>
    <w:rsid w:val="00B465F9"/>
    <w:rsid w:val="00B536B8"/>
    <w:rsid w:val="00B54495"/>
    <w:rsid w:val="00B57B9B"/>
    <w:rsid w:val="00B60762"/>
    <w:rsid w:val="00B60BF3"/>
    <w:rsid w:val="00B62418"/>
    <w:rsid w:val="00B73FDC"/>
    <w:rsid w:val="00B75A44"/>
    <w:rsid w:val="00B76C0D"/>
    <w:rsid w:val="00B7750D"/>
    <w:rsid w:val="00B87F88"/>
    <w:rsid w:val="00B90A91"/>
    <w:rsid w:val="00B93F0D"/>
    <w:rsid w:val="00B974E4"/>
    <w:rsid w:val="00BA0086"/>
    <w:rsid w:val="00BA4B6A"/>
    <w:rsid w:val="00BA67EF"/>
    <w:rsid w:val="00BB6C8E"/>
    <w:rsid w:val="00BC5760"/>
    <w:rsid w:val="00BC60C8"/>
    <w:rsid w:val="00BD0A3B"/>
    <w:rsid w:val="00BE3FAF"/>
    <w:rsid w:val="00BE6B2B"/>
    <w:rsid w:val="00C12B3B"/>
    <w:rsid w:val="00C17349"/>
    <w:rsid w:val="00C3088B"/>
    <w:rsid w:val="00C457AE"/>
    <w:rsid w:val="00C4760A"/>
    <w:rsid w:val="00C57162"/>
    <w:rsid w:val="00C641DA"/>
    <w:rsid w:val="00C64503"/>
    <w:rsid w:val="00C70E43"/>
    <w:rsid w:val="00C77CF0"/>
    <w:rsid w:val="00CA3000"/>
    <w:rsid w:val="00CA6593"/>
    <w:rsid w:val="00CB1CB8"/>
    <w:rsid w:val="00CB58AF"/>
    <w:rsid w:val="00CB6CE2"/>
    <w:rsid w:val="00CC16D3"/>
    <w:rsid w:val="00CC7408"/>
    <w:rsid w:val="00CD011C"/>
    <w:rsid w:val="00CD7F08"/>
    <w:rsid w:val="00CE2660"/>
    <w:rsid w:val="00CE7942"/>
    <w:rsid w:val="00CF03BD"/>
    <w:rsid w:val="00CF3B4B"/>
    <w:rsid w:val="00CF69FF"/>
    <w:rsid w:val="00D121F8"/>
    <w:rsid w:val="00D12EBE"/>
    <w:rsid w:val="00D16163"/>
    <w:rsid w:val="00D342E7"/>
    <w:rsid w:val="00D43BFD"/>
    <w:rsid w:val="00D45B6A"/>
    <w:rsid w:val="00D46CB1"/>
    <w:rsid w:val="00D506DA"/>
    <w:rsid w:val="00D50C1C"/>
    <w:rsid w:val="00D52730"/>
    <w:rsid w:val="00D63BB3"/>
    <w:rsid w:val="00D660C0"/>
    <w:rsid w:val="00D744E9"/>
    <w:rsid w:val="00D84F59"/>
    <w:rsid w:val="00D96A1C"/>
    <w:rsid w:val="00DA03A8"/>
    <w:rsid w:val="00DA09CF"/>
    <w:rsid w:val="00DB3E55"/>
    <w:rsid w:val="00DB6C7D"/>
    <w:rsid w:val="00DB7277"/>
    <w:rsid w:val="00DC1E73"/>
    <w:rsid w:val="00DD2F5E"/>
    <w:rsid w:val="00DE0CA5"/>
    <w:rsid w:val="00DE3031"/>
    <w:rsid w:val="00DF23AD"/>
    <w:rsid w:val="00DF44FE"/>
    <w:rsid w:val="00E04E39"/>
    <w:rsid w:val="00E1304E"/>
    <w:rsid w:val="00E2334E"/>
    <w:rsid w:val="00E2786D"/>
    <w:rsid w:val="00E442D5"/>
    <w:rsid w:val="00E511B9"/>
    <w:rsid w:val="00E53567"/>
    <w:rsid w:val="00E538D3"/>
    <w:rsid w:val="00E62345"/>
    <w:rsid w:val="00E6453B"/>
    <w:rsid w:val="00E65972"/>
    <w:rsid w:val="00E675A7"/>
    <w:rsid w:val="00E75AAB"/>
    <w:rsid w:val="00E93639"/>
    <w:rsid w:val="00EC3AB1"/>
    <w:rsid w:val="00EC7768"/>
    <w:rsid w:val="00EE1F8D"/>
    <w:rsid w:val="00EF06FB"/>
    <w:rsid w:val="00F152C7"/>
    <w:rsid w:val="00F25F69"/>
    <w:rsid w:val="00F30AC0"/>
    <w:rsid w:val="00F3316E"/>
    <w:rsid w:val="00F34280"/>
    <w:rsid w:val="00F352F6"/>
    <w:rsid w:val="00F3713E"/>
    <w:rsid w:val="00F41BCA"/>
    <w:rsid w:val="00F4288D"/>
    <w:rsid w:val="00F47A21"/>
    <w:rsid w:val="00F51B4D"/>
    <w:rsid w:val="00F65BC8"/>
    <w:rsid w:val="00F6639E"/>
    <w:rsid w:val="00F72CE3"/>
    <w:rsid w:val="00F73B38"/>
    <w:rsid w:val="00F757A3"/>
    <w:rsid w:val="00F82D5F"/>
    <w:rsid w:val="00F852E2"/>
    <w:rsid w:val="00F9424D"/>
    <w:rsid w:val="00F955CD"/>
    <w:rsid w:val="00FA1B4A"/>
    <w:rsid w:val="00FA4310"/>
    <w:rsid w:val="00FB4326"/>
    <w:rsid w:val="00FC2E66"/>
    <w:rsid w:val="00FD0E6A"/>
    <w:rsid w:val="00FD2A79"/>
    <w:rsid w:val="00FD2E3E"/>
    <w:rsid w:val="00FE1C54"/>
    <w:rsid w:val="00FE2BD4"/>
    <w:rsid w:val="00FF562F"/>
    <w:rsid w:val="00FF5B66"/>
    <w:rsid w:val="3F0A6449"/>
    <w:rsid w:val="667E39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9"/>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FollowedHyperlink"/>
    <w:basedOn w:val="8"/>
    <w:semiHidden/>
    <w:unhideWhenUsed/>
    <w:qFormat/>
    <w:uiPriority w:val="99"/>
    <w:rPr>
      <w:color w:val="954F72" w:themeColor="followedHyperlink"/>
      <w:u w:val="single"/>
      <w14:textFill>
        <w14:solidFill>
          <w14:schemeClr w14:val="folHlink"/>
        </w14:solidFill>
      </w14:textFill>
    </w:rPr>
  </w:style>
  <w:style w:type="character" w:styleId="10">
    <w:name w:val="Hyperlink"/>
    <w:basedOn w:val="8"/>
    <w:unhideWhenUsed/>
    <w:qFormat/>
    <w:uiPriority w:val="99"/>
    <w:rPr>
      <w:color w:val="0563C1" w:themeColor="hyperlink"/>
      <w:u w:val="single"/>
      <w14:textFill>
        <w14:solidFill>
          <w14:schemeClr w14:val="hlink"/>
        </w14:solidFill>
      </w14:textFill>
    </w:rPr>
  </w:style>
  <w:style w:type="paragraph" w:styleId="11">
    <w:name w:val="List Paragraph"/>
    <w:basedOn w:val="1"/>
    <w:qFormat/>
    <w:uiPriority w:val="99"/>
    <w:pPr>
      <w:ind w:firstLine="420" w:firstLineChars="200"/>
    </w:pPr>
  </w:style>
  <w:style w:type="character" w:customStyle="1" w:styleId="12">
    <w:name w:val="页眉 字符"/>
    <w:basedOn w:val="8"/>
    <w:link w:val="4"/>
    <w:uiPriority w:val="99"/>
    <w:rPr>
      <w:sz w:val="18"/>
      <w:szCs w:val="18"/>
    </w:rPr>
  </w:style>
  <w:style w:type="character" w:customStyle="1" w:styleId="13">
    <w:name w:val="页脚 字符"/>
    <w:basedOn w:val="8"/>
    <w:link w:val="3"/>
    <w:qFormat/>
    <w:uiPriority w:val="99"/>
    <w:rPr>
      <w:sz w:val="18"/>
      <w:szCs w:val="18"/>
    </w:rPr>
  </w:style>
  <w:style w:type="character" w:customStyle="1" w:styleId="14">
    <w:name w:val="Unresolved Mention1"/>
    <w:basedOn w:val="8"/>
    <w:semiHidden/>
    <w:unhideWhenUsed/>
    <w:uiPriority w:val="99"/>
    <w:rPr>
      <w:color w:val="605E5C"/>
      <w:shd w:val="clear" w:color="auto" w:fill="E1DFDD"/>
    </w:rPr>
  </w:style>
  <w:style w:type="paragraph" w:customStyle="1" w:styleId="15">
    <w:name w:val="列出段落"/>
    <w:basedOn w:val="1"/>
    <w:qFormat/>
    <w:uiPriority w:val="34"/>
    <w:pPr>
      <w:ind w:firstLine="420" w:firstLineChars="200"/>
    </w:pPr>
    <w:rPr>
      <w:rFonts w:ascii="Calibri" w:hAnsi="Calibri" w:eastAsia="宋体" w:cs="Times New Roman"/>
    </w:rPr>
  </w:style>
  <w:style w:type="paragraph" w:customStyle="1" w:styleId="16">
    <w:name w:val="列出段落1"/>
    <w:basedOn w:val="1"/>
    <w:qFormat/>
    <w:uiPriority w:val="34"/>
    <w:pPr>
      <w:ind w:firstLine="420" w:firstLineChars="200"/>
    </w:pPr>
    <w:rPr>
      <w:rFonts w:ascii="Calibri" w:hAnsi="Calibri" w:eastAsia="宋体" w:cs="Times New Roman"/>
    </w:rPr>
  </w:style>
  <w:style w:type="paragraph" w:customStyle="1" w:styleId="17">
    <w:name w:val="_tgt"/>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8">
    <w:name w:val="transsent"/>
    <w:basedOn w:val="8"/>
    <w:qFormat/>
    <w:uiPriority w:val="0"/>
  </w:style>
  <w:style w:type="character" w:customStyle="1" w:styleId="19">
    <w:name w:val="标题 3 字符"/>
    <w:basedOn w:val="8"/>
    <w:link w:val="2"/>
    <w:qFormat/>
    <w:uiPriority w:val="9"/>
    <w:rPr>
      <w:rFonts w:ascii="宋体" w:hAnsi="宋体" w:cs="宋体"/>
      <w:b/>
      <w:bCs/>
      <w:sz w:val="27"/>
      <w:szCs w:val="27"/>
    </w:rPr>
  </w:style>
  <w:style w:type="table" w:customStyle="1" w:styleId="20">
    <w:name w:val="网格型1"/>
    <w:basedOn w:val="6"/>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
    <w:name w:val="Other|1"/>
    <w:basedOn w:val="1"/>
    <w:qFormat/>
    <w:uiPriority w:val="0"/>
    <w:pPr>
      <w:spacing w:line="266" w:lineRule="exact"/>
      <w:jc w:val="left"/>
    </w:pPr>
    <w:rPr>
      <w:rFonts w:ascii="Arial" w:hAnsi="Arial" w:eastAsia="Arial" w:cs="Arial"/>
      <w:color w:val="000000"/>
      <w:kern w:val="0"/>
      <w:sz w:val="22"/>
      <w:lang w:eastAsia="en-US" w:bidi="en-US"/>
    </w:rPr>
  </w:style>
  <w:style w:type="paragraph" w:customStyle="1" w:styleId="22">
    <w:name w:val="列表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sv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sv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5.xml"/><Relationship Id="rId26" Type="http://schemas.openxmlformats.org/officeDocument/2006/relationships/customXml" Target="../customXml/item4.xml"/><Relationship Id="rId25" Type="http://schemas.openxmlformats.org/officeDocument/2006/relationships/customXml" Target="../customXml/item3.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6.sv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5.sv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4.svg"/><Relationship Id="rId12" Type="http://schemas.openxmlformats.org/officeDocument/2006/relationships/image" Target="media/image5.png"/><Relationship Id="rId11" Type="http://schemas.openxmlformats.org/officeDocument/2006/relationships/image" Target="media/image3.sv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1A4968C5131BD64282F601B919BCC962" ma:contentTypeVersion="12" ma:contentTypeDescription="Create a new document." ma:contentTypeScope="" ma:versionID="d19c7d1005972da5c0e5088b2aeec31c">
  <xsd:schema xmlns:xsd="http://www.w3.org/2001/XMLSchema" xmlns:xs="http://www.w3.org/2001/XMLSchema" xmlns:p="http://schemas.microsoft.com/office/2006/metadata/properties" xmlns:ns2="d053a900-991e-44fb-bd96-845800de57ba" xmlns:ns3="61eabe94-e822-4599-ba9c-e79658d81471" targetNamespace="http://schemas.microsoft.com/office/2006/metadata/properties" ma:root="true" ma:fieldsID="035d12338056179970c886d579f8131a" ns2:_="" ns3:_="">
    <xsd:import namespace="d053a900-991e-44fb-bd96-845800de57ba"/>
    <xsd:import namespace="61eabe94-e822-4599-ba9c-e79658d814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53a900-991e-44fb-bd96-845800de57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eabe94-e822-4599-ba9c-e79658d814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5C1D1D-CEB6-4C11-BEA8-55BC39999C66}">
  <ds:schemaRefs/>
</ds:datastoreItem>
</file>

<file path=customXml/itemProps3.xml><?xml version="1.0" encoding="utf-8"?>
<ds:datastoreItem xmlns:ds="http://schemas.openxmlformats.org/officeDocument/2006/customXml" ds:itemID="{8DED6C32-937E-48F8-A709-5ADAF077DE21}">
  <ds:schemaRefs/>
</ds:datastoreItem>
</file>

<file path=customXml/itemProps4.xml><?xml version="1.0" encoding="utf-8"?>
<ds:datastoreItem xmlns:ds="http://schemas.openxmlformats.org/officeDocument/2006/customXml" ds:itemID="{BE73CC2F-0B0D-417C-85CE-34BF68960DA7}">
  <ds:schemaRefs/>
</ds:datastoreItem>
</file>

<file path=customXml/itemProps5.xml><?xml version="1.0" encoding="utf-8"?>
<ds:datastoreItem xmlns:ds="http://schemas.openxmlformats.org/officeDocument/2006/customXml" ds:itemID="{1C124A6D-6422-4994-B779-6E4F40FFA210}">
  <ds:schemaRefs/>
</ds:datastoreItem>
</file>

<file path=docProps/app.xml><?xml version="1.0" encoding="utf-8"?>
<Properties xmlns="http://schemas.openxmlformats.org/officeDocument/2006/extended-properties" xmlns:vt="http://schemas.openxmlformats.org/officeDocument/2006/docPropsVTypes">
  <Template>Normal</Template>
  <Pages>16</Pages>
  <Words>1881</Words>
  <Characters>10725</Characters>
  <Lines>89</Lines>
  <Paragraphs>25</Paragraphs>
  <TotalTime>8</TotalTime>
  <ScaleCrop>false</ScaleCrop>
  <LinksUpToDate>false</LinksUpToDate>
  <CharactersWithSpaces>12581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2020-03-04T00:11:00Z</dcterms:created>
  <dc:creator>Cang Kevin</dc:creator>
  <cp:lastModifiedBy>一土三金</cp:lastModifiedBy>
  <cp:lastPrinted>2020-08-27T10:36:00Z</cp:lastPrinted>
  <dcterms:modified xsi:type="dcterms:W3CDTF">2020-09-09T15:08:13Z</dcterms:modified>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0x0101001A4968C5131BD64282F601B919BCC962</vt:lpwstr>
  </property>
  <property fmtid="{D5CDD505-2E9C-101B-9397-08002B2CF9AE}" pid="3" name="KSOProductBuildVer">
    <vt:lpwstr>2052-11.1.0.9912</vt:lpwstr>
  </property>
</Properties>
</file>