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color w:val="1F497D"/>
          <w:sz w:val="36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4464050</wp:posOffset>
            </wp:positionH>
            <wp:positionV relativeFrom="paragraph">
              <wp:posOffset>-422275</wp:posOffset>
            </wp:positionV>
            <wp:extent cx="857885" cy="299720"/>
            <wp:effectExtent l="0" t="0" r="0" b="508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92" cy="29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0" w:lineRule="atLeast"/>
        <w:jc w:val="center"/>
        <w:rPr>
          <w:b/>
          <w:color w:val="1F497D"/>
          <w:sz w:val="36"/>
        </w:rPr>
      </w:pPr>
      <w:r>
        <w:rPr>
          <w:rFonts w:hint="eastAsia"/>
          <w:b/>
          <w:color w:val="1F497D"/>
          <w:sz w:val="36"/>
        </w:rPr>
        <w:t>附件：</w:t>
      </w:r>
      <w:bookmarkStart w:id="0" w:name="_GoBack"/>
      <w:r>
        <w:rPr>
          <w:b/>
          <w:color w:val="1F497D"/>
          <w:sz w:val="36"/>
        </w:rPr>
        <w:t>伦敦政治经济学院</w:t>
      </w:r>
      <w:r>
        <w:rPr>
          <w:rFonts w:asciiTheme="minorHAnsi" w:hAnsiTheme="minorHAnsi" w:cstheme="minorHAnsi"/>
          <w:b/>
          <w:color w:val="1F497D"/>
          <w:sz w:val="36"/>
        </w:rPr>
        <w:t>2020</w:t>
      </w:r>
      <w:r>
        <w:rPr>
          <w:b/>
          <w:color w:val="1F497D"/>
          <w:sz w:val="36"/>
        </w:rPr>
        <w:t>暑期专业</w:t>
      </w:r>
      <w:r>
        <w:rPr>
          <w:rFonts w:hint="eastAsia"/>
          <w:b/>
          <w:color w:val="1F497D"/>
          <w:sz w:val="36"/>
        </w:rPr>
        <w:t>学习</w:t>
      </w:r>
      <w:r>
        <w:rPr>
          <w:b/>
          <w:color w:val="1F497D"/>
          <w:sz w:val="36"/>
        </w:rPr>
        <w:t>课程选课表</w:t>
      </w:r>
      <w:bookmarkEnd w:id="0"/>
    </w:p>
    <w:p>
      <w:pPr>
        <w:spacing w:line="360" w:lineRule="auto"/>
        <w:rPr>
          <w:rFonts w:eastAsiaTheme="minorEastAsia"/>
          <w:sz w:val="22"/>
          <w:szCs w:val="22"/>
        </w:rPr>
      </w:pP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23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第一期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23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年6月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22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日–7月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10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23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第二期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23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年7月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13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日–7月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31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" w:type="dxa"/>
            <w:shd w:val="clear" w:color="auto" w:fill="auto"/>
          </w:tcPr>
          <w:p>
            <w:pPr>
              <w:pStyle w:val="23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第三期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7407" w:type="dxa"/>
            <w:shd w:val="clear" w:color="auto" w:fill="auto"/>
          </w:tcPr>
          <w:p>
            <w:pPr>
              <w:pStyle w:val="23"/>
              <w:rPr>
                <w:rFonts w:ascii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20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年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日–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8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Calibri" w:hAnsi="Calibri" w:cs="Arial"/>
                <w:color w:val="auto"/>
                <w:sz w:val="22"/>
                <w:szCs w:val="22"/>
              </w:rPr>
              <w:t>21</w:t>
            </w:r>
            <w:r>
              <w:rPr>
                <w:rFonts w:ascii="Calibri" w:hAnsi="Calibri" w:cs="Arial"/>
                <w:color w:val="auto"/>
                <w:sz w:val="22"/>
                <w:szCs w:val="22"/>
              </w:rPr>
              <w:t>日</w:t>
            </w:r>
          </w:p>
        </w:tc>
      </w:tr>
    </w:tbl>
    <w:p/>
    <w:p/>
    <w:p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Accounting (会计学)</w:t>
      </w:r>
    </w:p>
    <w:p>
      <w:pPr>
        <w:rPr>
          <w:rFonts w:asciiTheme="minorHAnsi" w:hAnsiTheme="minorHAnsi" w:cstheme="minorHAnsi"/>
          <w:b/>
          <w:u w:val="singl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AC110：会计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原理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AC210：</w:t>
            </w:r>
            <w:r>
              <w:rPr>
                <w:rFonts w:hint="eastAsia" w:asciiTheme="minorHAnsi" w:hAnsiTheme="minorHAnsi" w:cstheme="minorHAnsi"/>
              </w:rPr>
              <w:t>投资银行与资产管理的</w:t>
            </w:r>
            <w:r>
              <w:rPr>
                <w:rFonts w:asciiTheme="minorHAnsi" w:hAnsiTheme="minorHAnsi" w:cstheme="minorHAnsi"/>
              </w:rPr>
              <w:t>财务报表</w:t>
            </w:r>
            <w:r>
              <w:rPr>
                <w:rFonts w:hint="eastAsia" w:asciiTheme="minorHAnsi" w:hAnsiTheme="minorHAnsi" w:cstheme="minorHAnsi"/>
              </w:rPr>
              <w:t>分析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AC101：管理会计与财务控制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AC215：</w:t>
            </w:r>
            <w:r>
              <w:rPr>
                <w:rFonts w:hint="eastAsia" w:asciiTheme="minorHAnsi" w:hAnsiTheme="minorHAnsi" w:cstheme="minorHAnsi"/>
              </w:rPr>
              <w:t>商业</w:t>
            </w:r>
            <w:r>
              <w:rPr>
                <w:rFonts w:asciiTheme="minorHAnsi" w:hAnsiTheme="minorHAnsi" w:cstheme="minorHAnsi"/>
              </w:rPr>
              <w:t>分析与</w:t>
            </w:r>
            <w:r>
              <w:rPr>
                <w:rFonts w:hint="eastAsia" w:asciiTheme="minorHAnsi" w:hAnsiTheme="minorHAnsi" w:cstheme="minorHAnsi"/>
              </w:rPr>
              <w:t>估值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AC110：会计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原理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AC201：决策绩效评估</w:t>
            </w:r>
          </w:p>
        </w:tc>
      </w:tr>
    </w:tbl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Business and Management (商科与管理)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MG101：营销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MG106：战略管理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MG130：组织</w:t>
            </w:r>
            <w:r>
              <w:rPr>
                <w:rFonts w:hint="eastAsia" w:asciiTheme="minorHAnsi" w:hAnsiTheme="minorHAnsi" w:cstheme="minorHAnsi"/>
              </w:rPr>
              <w:t>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MG133：管理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基础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MG190：人力资源管理与</w:t>
            </w:r>
            <w:r>
              <w:rPr>
                <w:rFonts w:hint="eastAsia" w:asciiTheme="minorHAnsi" w:hAnsiTheme="minorHAnsi" w:cstheme="minorHAnsi"/>
              </w:rPr>
              <w:t>就业</w:t>
            </w:r>
            <w:r>
              <w:rPr>
                <w:rFonts w:asciiTheme="minorHAnsi" w:hAnsiTheme="minorHAnsi" w:cstheme="minorHAnsi"/>
              </w:rPr>
              <w:t>关系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MG209：谈判与协商：利益、信息、战略与权力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MG103：消费者行为：营销和管理的行为基础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MG105：社会创新与创业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MG110：决策的科学与艺术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MG203：市场</w:t>
            </w:r>
            <w:r>
              <w:rPr>
                <w:rFonts w:hint="eastAsia" w:asciiTheme="minorHAnsi" w:hAnsiTheme="minorHAnsi" w:cstheme="minorHAnsi"/>
              </w:rPr>
              <w:t>与</w:t>
            </w:r>
            <w:r>
              <w:rPr>
                <w:rFonts w:asciiTheme="minorHAnsi" w:hAnsiTheme="minorHAnsi" w:cstheme="minorHAnsi"/>
              </w:rPr>
              <w:t>增长的战略管理：欧洲的产业政策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MG204：组织领导力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MG220：</w:t>
            </w:r>
            <w:r>
              <w:rPr>
                <w:rFonts w:hint="eastAsia" w:asciiTheme="minorHAnsi" w:hAnsiTheme="minorHAnsi" w:cstheme="minorHAnsi"/>
              </w:rPr>
              <w:t>企业</w:t>
            </w:r>
            <w:r>
              <w:rPr>
                <w:rFonts w:asciiTheme="minorHAnsi" w:hAnsiTheme="minorHAnsi" w:cstheme="minorHAnsi"/>
              </w:rPr>
              <w:t>和组织战略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MG250：电子商务管理与经济学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MG300：谈判训练营：谈判艺术</w:t>
            </w:r>
            <w:r>
              <w:rPr>
                <w:rFonts w:hint="eastAsia" w:asciiTheme="minorHAnsi" w:hAnsiTheme="minorHAnsi" w:cstheme="minorHAnsi"/>
              </w:rPr>
              <w:t>中</w:t>
            </w:r>
            <w:r>
              <w:rPr>
                <w:rFonts w:asciiTheme="minorHAnsi" w:hAnsiTheme="minorHAnsi" w:cstheme="minorHAnsi"/>
              </w:rPr>
              <w:t>的</w:t>
            </w:r>
            <w:r>
              <w:rPr>
                <w:rFonts w:hint="eastAsia" w:asciiTheme="minorHAnsi" w:hAnsiTheme="minorHAnsi" w:cstheme="minorHAnsi"/>
              </w:rPr>
              <w:t>自我</w:t>
            </w:r>
            <w:r>
              <w:rPr>
                <w:rFonts w:asciiTheme="minorHAnsi" w:hAnsiTheme="minorHAnsi" w:cstheme="minorHAnsi"/>
              </w:rPr>
              <w:t>掌</w:t>
            </w:r>
            <w:r>
              <w:rPr>
                <w:rFonts w:hint="eastAsia" w:asciiTheme="minorHAnsi" w:hAnsiTheme="minorHAnsi" w:cstheme="minorHAnsi"/>
              </w:rPr>
              <w:t>控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MG101：营销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G</w:t>
            </w:r>
            <w:r>
              <w:rPr>
                <w:rFonts w:hint="eastAsia" w:asciiTheme="minorHAnsi" w:hAnsiTheme="minorHAnsi" w:cstheme="minorHAnsi"/>
              </w:rPr>
              <w:t>104：创新管理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MG106：战略管理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MG205：竞争战略与博弈论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MG206：国际和新兴市场的商业战略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Economics (经济学)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EC101：</w:t>
            </w:r>
            <w:r>
              <w:rPr>
                <w:rFonts w:hint="eastAsia" w:asciiTheme="minorHAnsi" w:hAnsiTheme="minorHAnsi" w:cstheme="minorHAnsi"/>
              </w:rPr>
              <w:t>微</w:t>
            </w:r>
            <w:r>
              <w:rPr>
                <w:rFonts w:asciiTheme="minorHAnsi" w:hAnsiTheme="minorHAnsi" w:cstheme="minorHAnsi"/>
              </w:rPr>
              <w:t>观经济学导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EC201：中级微观经济学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EC203：房地产经济学与金融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EC204：金融市场与全球经济：泡沫、崩溃和通胀</w:t>
            </w:r>
            <w:r>
              <w:rPr>
                <w:rFonts w:hint="eastAsia" w:asciiTheme="minorHAnsi" w:hAnsiTheme="minorHAnsi" w:cstheme="minorHAnsi"/>
              </w:rPr>
              <w:t>膨胀</w:t>
            </w:r>
            <w:r>
              <w:rPr>
                <w:rFonts w:asciiTheme="minorHAnsi" w:hAnsiTheme="minorHAnsi" w:cstheme="minorHAnsi"/>
              </w:rPr>
              <w:t>的历史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EC212：计量经济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C</w:t>
            </w:r>
            <w:r>
              <w:rPr>
                <w:rFonts w:hint="eastAsia" w:asciiTheme="minorHAnsi" w:hAnsiTheme="minorHAnsi" w:cstheme="minorHAnsi"/>
              </w:rPr>
              <w:t>315：计算经济学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EC351：国际经济学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EC102：宏观经济学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EC200：行为经济学</w:t>
            </w:r>
            <w:r>
              <w:rPr>
                <w:rFonts w:hint="eastAsia" w:asciiTheme="minorHAnsi" w:hAnsiTheme="minorHAnsi" w:cstheme="minorHAnsi"/>
              </w:rPr>
              <w:t>导论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EC202：中级宏观经济学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EC240：环境经济学与可持续发展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EC260：公共政策的政治经济学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EC270：公共财政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EC307：发展经济学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EC320：应用计量经济学和大数据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EC341：产业组织与竞争政策</w:t>
            </w:r>
            <w:r>
              <w:rPr>
                <w:rFonts w:hint="eastAsia" w:asciiTheme="minorHAnsi" w:hAnsiTheme="minorHAnsi" w:cstheme="minorHAnsi"/>
              </w:rPr>
              <w:t>导论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EC101: 微观经济学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EC102 : 宏观经济学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EC104：福利国家（与贫困国家）：全球经济</w:t>
            </w:r>
            <w:r>
              <w:rPr>
                <w:rFonts w:hint="eastAsia" w:asciiTheme="minorHAnsi" w:hAnsiTheme="minorHAnsi" w:cstheme="minorHAnsi"/>
              </w:rPr>
              <w:t>发展的历史与现状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EC212：计量经济</w:t>
            </w:r>
            <w:r>
              <w:rPr>
                <w:rFonts w:hint="eastAsia" w:asciiTheme="minorHAnsi" w:hAnsiTheme="minorHAnsi" w:cstheme="minorHAnsi"/>
              </w:rPr>
              <w:t>学</w:t>
            </w:r>
            <w:r>
              <w:rPr>
                <w:rFonts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EC235：欧洲一体化经济学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EC312：高级计量经济学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EC321：货币与银行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</w:tc>
      </w:tr>
    </w:tbl>
    <w:p>
      <w:pPr>
        <w:spacing w:line="200" w:lineRule="exact"/>
        <w:rPr>
          <w:rFonts w:asciiTheme="minorHAnsi" w:hAnsiTheme="minorHAnsi" w:cstheme="minorHAnsi"/>
          <w:b/>
          <w:u w:val="single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English Language (英语)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</w:rPr>
        <w:t>LN104：商务英语（仅在第三期开设）</w:t>
      </w:r>
    </w:p>
    <w:p>
      <w:pPr>
        <w:rPr>
          <w:rFonts w:asciiTheme="minorHAnsi" w:hAnsiTheme="minorHAnsi" w:cstheme="minorHAnsi"/>
          <w:b/>
          <w:sz w:val="24"/>
          <w:u w:val="single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Finance (金融</w:t>
      </w:r>
      <w:r>
        <w:rPr>
          <w:rFonts w:hint="eastAsia" w:asciiTheme="minorHAnsi" w:hAnsiTheme="minorHAnsi" w:cstheme="minorHAnsi"/>
          <w:b/>
          <w:sz w:val="24"/>
          <w:u w:val="single"/>
        </w:rPr>
        <w:t>学</w:t>
      </w:r>
      <w:r>
        <w:rPr>
          <w:rFonts w:asciiTheme="minorHAnsi" w:hAnsiTheme="minorHAnsi" w:cstheme="minorHAnsi"/>
          <w:b/>
          <w:sz w:val="24"/>
          <w:u w:val="single"/>
        </w:rPr>
        <w:t>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FM230：</w:t>
            </w:r>
            <w:r>
              <w:rPr>
                <w:rFonts w:hint="eastAsia" w:asciiTheme="minorHAnsi" w:hAnsiTheme="minorHAnsi" w:cstheme="minorHAnsi"/>
              </w:rPr>
              <w:t>另类</w:t>
            </w:r>
            <w:r>
              <w:rPr>
                <w:rFonts w:asciiTheme="minorHAnsi" w:hAnsiTheme="minorHAnsi" w:cstheme="minorHAnsi"/>
              </w:rPr>
              <w:t>投资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FM250：金融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FM360：期权、期货和其他金融衍生品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FM202：金融风险分析与管理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FM225：固定收益证券、债券市场和宏观经济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FM230：</w:t>
            </w:r>
            <w:r>
              <w:rPr>
                <w:rFonts w:hint="eastAsia" w:asciiTheme="minorHAnsi" w:hAnsiTheme="minorHAnsi" w:cstheme="minorHAnsi"/>
              </w:rPr>
              <w:t>另类</w:t>
            </w:r>
            <w:r>
              <w:rPr>
                <w:rFonts w:asciiTheme="minorHAnsi" w:hAnsiTheme="minorHAnsi" w:cstheme="minorHAnsi"/>
              </w:rPr>
              <w:t>投资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FM250：金融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FM255：金融市场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FM350：高级公司</w:t>
            </w:r>
            <w:r>
              <w:rPr>
                <w:rFonts w:hint="eastAsia" w:asciiTheme="minorHAnsi" w:hAnsiTheme="minorHAnsi" w:cstheme="minorHAnsi"/>
              </w:rPr>
              <w:t>金融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International Relations, Government, Psychology and Society (国际关系、政府、心理学与社会)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2821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IR106：从萨拉热窝到巴格达：关于战争与和平的</w:t>
            </w:r>
            <w:r>
              <w:rPr>
                <w:rFonts w:hint="eastAsia" w:asciiTheme="minorHAnsi" w:hAnsiTheme="minorHAnsi" w:cstheme="minorHAnsi"/>
              </w:rPr>
              <w:t>关键决策（</w:t>
            </w:r>
            <w:r>
              <w:rPr>
                <w:rFonts w:asciiTheme="minorHAnsi" w:hAnsiTheme="minorHAnsi" w:cstheme="minorHAnsi"/>
              </w:rPr>
              <w:t>1914-2003</w:t>
            </w:r>
            <w:r>
              <w:rPr>
                <w:rFonts w:hint="eastAsia" w:asciiTheme="minorHAnsi" w:hAnsiTheme="minorHAnsi" w:cstheme="minorHAnsi"/>
              </w:rPr>
              <w:t>）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IR115：文化与全球化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IR130：</w:t>
            </w:r>
            <w:r>
              <w:rPr>
                <w:rFonts w:hint="eastAsia" w:asciiTheme="minorHAnsi" w:hAnsiTheme="minorHAnsi" w:cstheme="minorHAnsi"/>
              </w:rPr>
              <w:t>战争、权力与道义</w:t>
            </w:r>
            <w:r>
              <w:rPr>
                <w:rFonts w:asciiTheme="minorHAnsi" w:hAnsiTheme="minorHAnsi" w:cstheme="minorHAnsi"/>
              </w:rPr>
              <w:t>：政治理论和国际政治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IR160：全球政治中的中东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IR203：城市化世界：全球城市的未来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IR209：国际政治经济</w:t>
            </w:r>
            <w:r>
              <w:rPr>
                <w:rFonts w:hint="eastAsia" w:asciiTheme="minorHAnsi" w:hAnsiTheme="minorHAnsi" w:cstheme="minorHAnsi"/>
              </w:rPr>
              <w:t>学：21世纪的国家与市场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IR211：美国</w:t>
            </w:r>
            <w:r>
              <w:rPr>
                <w:rFonts w:hint="eastAsia" w:asciiTheme="minorHAnsi" w:hAnsiTheme="minorHAnsi" w:cstheme="minorHAnsi"/>
              </w:rPr>
              <w:t>作为全球大国</w:t>
            </w:r>
            <w:r>
              <w:rPr>
                <w:rFonts w:asciiTheme="minorHAnsi" w:hAnsiTheme="minorHAnsi" w:cstheme="minorHAnsi"/>
              </w:rPr>
              <w:t>：从罗斯福到特朗普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IR215：</w:t>
            </w:r>
            <w:r>
              <w:rPr>
                <w:rFonts w:hint="eastAsia" w:asciiTheme="minorHAnsi" w:hAnsiTheme="minorHAnsi" w:cstheme="minorHAnsi"/>
              </w:rPr>
              <w:t>战火、饥荒与冲突：</w:t>
            </w:r>
            <w:r>
              <w:rPr>
                <w:rFonts w:asciiTheme="minorHAnsi" w:hAnsiTheme="minorHAnsi" w:cstheme="minorHAnsi"/>
              </w:rPr>
              <w:t>人道主义干预的政治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IR245：国际新闻与社会——媒体在现代世界中的作用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IR270：什么样的欧洲？危机、改革</w:t>
            </w:r>
            <w:r>
              <w:rPr>
                <w:rFonts w:hint="eastAsia" w:asciiTheme="minorHAnsi" w:hAnsiTheme="minorHAnsi" w:cstheme="minorHAnsi"/>
              </w:rPr>
              <w:t>与</w:t>
            </w:r>
            <w:r>
              <w:rPr>
                <w:rFonts w:asciiTheme="minorHAnsi" w:hAnsiTheme="minorHAnsi" w:cstheme="minorHAnsi"/>
              </w:rPr>
              <w:t>欧盟的国际作用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IR102：资本主义、民主与平等：发达国家的政治经济</w:t>
            </w:r>
            <w:r>
              <w:rPr>
                <w:rFonts w:hint="eastAsia" w:asciiTheme="minorHAnsi" w:hAnsiTheme="minorHAnsi" w:cstheme="minorHAnsi"/>
              </w:rPr>
              <w:t>学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IR105：</w:t>
            </w:r>
            <w:r>
              <w:rPr>
                <w:rFonts w:hint="eastAsia" w:asciiTheme="minorHAnsi" w:hAnsiTheme="minorHAnsi" w:cstheme="minorHAnsi"/>
              </w:rPr>
              <w:t>理</w:t>
            </w:r>
            <w:r>
              <w:rPr>
                <w:rFonts w:asciiTheme="minorHAnsi" w:hAnsiTheme="minorHAnsi" w:cstheme="minorHAnsi"/>
              </w:rPr>
              <w:t>解外交政策：战争、利益和</w:t>
            </w:r>
            <w:r>
              <w:rPr>
                <w:rFonts w:hint="eastAsia" w:asciiTheme="minorHAnsi" w:hAnsiTheme="minorHAnsi" w:cstheme="minorHAnsi"/>
              </w:rPr>
              <w:t>正义</w:t>
            </w:r>
            <w:r>
              <w:rPr>
                <w:rFonts w:asciiTheme="minorHAnsi" w:hAnsiTheme="minorHAnsi" w:cstheme="minorHAnsi"/>
              </w:rPr>
              <w:t>的外交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IR120：贸易、发展和环境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IR140：全球传播、公民和文化政治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IR200：国际组织：</w:t>
            </w:r>
            <w:r>
              <w:rPr>
                <w:rFonts w:hint="eastAsia" w:asciiTheme="minorHAnsi" w:hAnsiTheme="minorHAnsi" w:cstheme="minorHAnsi"/>
              </w:rPr>
              <w:t>分化世界中的</w:t>
            </w:r>
            <w:r>
              <w:rPr>
                <w:rFonts w:asciiTheme="minorHAnsi" w:hAnsiTheme="minorHAnsi" w:cstheme="minorHAnsi"/>
              </w:rPr>
              <w:t>全球治理</w:t>
            </w:r>
            <w:r>
              <w:rPr>
                <w:rFonts w:hint="eastAsia" w:asciiTheme="minorHAnsi" w:hAnsiTheme="minorHAnsi" w:cstheme="minorHAnsi"/>
              </w:rPr>
              <w:t>挑战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IR201：权力转移：西方的衰落、金砖</w:t>
            </w:r>
            <w:r>
              <w:rPr>
                <w:rFonts w:hint="eastAsia" w:asciiTheme="minorHAnsi" w:hAnsiTheme="minorHAnsi" w:cstheme="minorHAnsi"/>
              </w:rPr>
              <w:t>国家</w:t>
            </w:r>
            <w:r>
              <w:rPr>
                <w:rFonts w:asciiTheme="minorHAnsi" w:hAnsiTheme="minorHAnsi" w:cstheme="minorHAnsi"/>
              </w:rPr>
              <w:t>的崛起和亚洲</w:t>
            </w:r>
            <w:r>
              <w:rPr>
                <w:rFonts w:hint="eastAsia" w:asciiTheme="minorHAnsi" w:hAnsiTheme="minorHAnsi" w:cstheme="minorHAnsi"/>
              </w:rPr>
              <w:t>新</w:t>
            </w:r>
            <w:r>
              <w:rPr>
                <w:rFonts w:asciiTheme="minorHAnsi" w:hAnsiTheme="minorHAnsi" w:cstheme="minorHAnsi"/>
              </w:rPr>
              <w:t>世纪的世界秩序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IR204：国际移民、社会融合和公共政策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IR205：伊斯兰教与政治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IR210：从冲突中建立民主</w:t>
            </w:r>
            <w:r>
              <w:rPr>
                <w:rFonts w:hint="eastAsia" w:asciiTheme="minorHAnsi" w:hAnsiTheme="minorHAnsi" w:cstheme="minorHAnsi"/>
              </w:rPr>
              <w:t>：暴力、权力共享与体制设计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IR250：</w:t>
            </w:r>
            <w:r>
              <w:rPr>
                <w:rFonts w:hint="eastAsia" w:asciiTheme="minorHAnsi" w:hAnsiTheme="minorHAnsi" w:cstheme="minorHAnsi"/>
              </w:rPr>
              <w:t>全球公民社会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IR100：伟大的思想家和</w:t>
            </w:r>
            <w:r>
              <w:rPr>
                <w:rFonts w:hint="eastAsia" w:asciiTheme="minorHAnsi" w:hAnsiTheme="minorHAnsi" w:cstheme="minorHAnsi"/>
              </w:rPr>
              <w:t>领导者</w:t>
            </w:r>
            <w:r>
              <w:rPr>
                <w:rFonts w:asciiTheme="minorHAnsi" w:hAnsiTheme="minorHAnsi" w:cstheme="minorHAnsi"/>
              </w:rPr>
              <w:t>：塑造全球秩序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</w:t>
            </w:r>
            <w:r>
              <w:rPr>
                <w:rFonts w:hint="eastAsia"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：</w:t>
            </w:r>
            <w:r>
              <w:rPr>
                <w:rFonts w:hint="eastAsia" w:asciiTheme="minorHAnsi" w:hAnsiTheme="minorHAnsi" w:cstheme="minorHAnsi"/>
              </w:rPr>
              <w:t>不同文化中的童年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IR104：治理气候和环境变化：科学、政策和政治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IR110：心理学基础 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IR207：国际政治经济</w:t>
            </w:r>
            <w:r>
              <w:rPr>
                <w:rFonts w:hint="eastAsia" w:asciiTheme="minorHAnsi" w:hAnsiTheme="minorHAnsi" w:cstheme="minorHAnsi"/>
              </w:rPr>
              <w:t>学的</w:t>
            </w:r>
            <w:r>
              <w:rPr>
                <w:rFonts w:asciiTheme="minorHAnsi" w:hAnsiTheme="minorHAnsi" w:cstheme="minorHAnsi"/>
              </w:rPr>
              <w:t>发展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IR214：公共政策分析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>R</w:t>
            </w:r>
            <w:r>
              <w:rPr>
                <w:rFonts w:hint="eastAsia" w:asciiTheme="minorHAnsi" w:hAnsiTheme="minorHAnsi" w:cstheme="minorHAnsi"/>
              </w:rPr>
              <w:t>218：全球卫生：科学、政治与发展</w:t>
            </w:r>
          </w:p>
        </w:tc>
      </w:tr>
    </w:tbl>
    <w:p>
      <w:pPr>
        <w:rPr>
          <w:rFonts w:asciiTheme="minorHAnsi" w:hAnsiTheme="minorHAnsi" w:cstheme="minorHAnsi"/>
          <w:kern w:val="0"/>
          <w:szCs w:val="20"/>
        </w:rPr>
      </w:pPr>
    </w:p>
    <w:p>
      <w:pPr>
        <w:rPr>
          <w:rFonts w:asciiTheme="minorHAnsi" w:hAnsiTheme="minorHAnsi" w:cstheme="minorHAnsi"/>
          <w:kern w:val="0"/>
          <w:szCs w:val="20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Law (法律)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LL102：国际人权</w:t>
            </w:r>
            <w:r>
              <w:rPr>
                <w:rFonts w:hint="eastAsia" w:asciiTheme="minorHAnsi" w:hAnsiTheme="minorHAnsi" w:cstheme="minorHAnsi"/>
              </w:rPr>
              <w:t>概</w:t>
            </w:r>
            <w:r>
              <w:rPr>
                <w:rFonts w:asciiTheme="minorHAnsi" w:hAnsiTheme="minorHAnsi" w:cstheme="minorHAnsi"/>
              </w:rPr>
              <w:t>论：理论、法律和实践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LL135：公司法与</w:t>
            </w:r>
            <w:r>
              <w:rPr>
                <w:rFonts w:hint="eastAsia" w:asciiTheme="minorHAnsi" w:hAnsiTheme="minorHAnsi" w:cstheme="minorHAnsi"/>
              </w:rPr>
              <w:t>公司</w:t>
            </w:r>
            <w:r>
              <w:rPr>
                <w:rFonts w:asciiTheme="minorHAnsi" w:hAnsiTheme="minorHAnsi" w:cstheme="minorHAnsi"/>
              </w:rPr>
              <w:t>治理概论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LL202：商法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LL206：国际金融法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LL209：比较人权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hint="eastAsia"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L300</w:t>
            </w:r>
            <w:r>
              <w:rPr>
                <w:rFonts w:hint="eastAsia" w:asciiTheme="minorHAnsi" w:hAnsiTheme="minorHAnsi" w:cstheme="minorHAnsi"/>
              </w:rPr>
              <w:t>：高级谈判和调解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LL105: 国际法：当代问题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LL203: 国际商</w:t>
            </w:r>
            <w:r>
              <w:rPr>
                <w:rFonts w:hint="eastAsia" w:asciiTheme="minorHAnsi" w:hAnsiTheme="minorHAnsi" w:cstheme="minorHAnsi"/>
              </w:rPr>
              <w:t>业</w:t>
            </w:r>
            <w:r>
              <w:rPr>
                <w:rFonts w:asciiTheme="minorHAnsi" w:hAnsiTheme="minorHAnsi" w:cstheme="minorHAnsi"/>
              </w:rPr>
              <w:t>诉讼与仲裁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LL204: 网络法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LL207：国际金融</w:t>
            </w:r>
            <w:r>
              <w:rPr>
                <w:rFonts w:hint="eastAsia" w:asciiTheme="minorHAnsi" w:hAnsiTheme="minorHAnsi" w:cstheme="minorHAnsi"/>
              </w:rPr>
              <w:t>监管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LL210：避税</w:t>
            </w:r>
            <w:r>
              <w:rPr>
                <w:rFonts w:hint="eastAsia" w:asciiTheme="minorHAnsi" w:hAnsiTheme="minorHAnsi" w:cstheme="minorHAnsi"/>
              </w:rPr>
              <w:t>和法律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>L</w:t>
            </w:r>
            <w:r>
              <w:rPr>
                <w:rFonts w:hint="eastAsia" w:asciiTheme="minorHAnsi" w:hAnsiTheme="minorHAnsi" w:cstheme="minorHAnsi"/>
              </w:rPr>
              <w:t>100：欧盟法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LL110：税收、司法和社会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LL200：竞争法与</w:t>
            </w:r>
            <w:r>
              <w:rPr>
                <w:rFonts w:hint="eastAsia" w:asciiTheme="minorHAnsi" w:hAnsiTheme="minorHAnsi" w:cstheme="minorHAnsi"/>
              </w:rPr>
              <w:t>竞争</w:t>
            </w:r>
            <w:r>
              <w:rPr>
                <w:rFonts w:asciiTheme="minorHAnsi" w:hAnsiTheme="minorHAnsi" w:cstheme="minorHAnsi"/>
              </w:rPr>
              <w:t>政策：控制私人权力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LL208：言论</w:t>
            </w:r>
            <w:r>
              <w:rPr>
                <w:rFonts w:hint="eastAsia" w:asciiTheme="minorHAnsi" w:hAnsiTheme="minorHAnsi" w:cstheme="minorHAnsi"/>
              </w:rPr>
              <w:t>自由</w:t>
            </w:r>
            <w:r>
              <w:rPr>
                <w:rFonts w:asciiTheme="minorHAnsi" w:hAnsiTheme="minorHAnsi" w:cstheme="minorHAnsi"/>
              </w:rPr>
              <w:t>、媒体和法律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LL301：公司</w:t>
            </w:r>
            <w:r>
              <w:rPr>
                <w:rFonts w:hint="eastAsia" w:asciiTheme="minorHAnsi" w:hAnsiTheme="minorHAnsi" w:cstheme="minorHAnsi"/>
              </w:rPr>
              <w:t>财务</w:t>
            </w:r>
            <w:r>
              <w:rPr>
                <w:rFonts w:asciiTheme="minorHAnsi" w:hAnsiTheme="minorHAnsi" w:cstheme="minorHAnsi"/>
              </w:rPr>
              <w:t>法</w:t>
            </w:r>
          </w:p>
        </w:tc>
      </w:tr>
    </w:tbl>
    <w:p>
      <w:pPr>
        <w:rPr>
          <w:rFonts w:asciiTheme="minorHAnsi" w:hAnsiTheme="minorHAnsi" w:cstheme="minorHAnsi"/>
          <w:sz w:val="24"/>
        </w:rPr>
      </w:pPr>
    </w:p>
    <w:p>
      <w:pPr>
        <w:rPr>
          <w:rFonts w:asciiTheme="minorHAnsi" w:hAnsiTheme="minorHAnsi" w:cstheme="minorHAnsi"/>
          <w:b/>
          <w:sz w:val="24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Research Methods, Data Science, and Mathematics (研究方法、数据科学与数学)</w:t>
      </w:r>
    </w:p>
    <w:p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第一期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第二期</w:t>
            </w:r>
          </w:p>
        </w:tc>
        <w:tc>
          <w:tcPr>
            <w:tcW w:w="3012" w:type="dxa"/>
          </w:tcPr>
          <w:p>
            <w:pPr>
              <w:spacing w:line="200" w:lineRule="exact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第三期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ME100：微积分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ME116：经济学和计量经济学的基本统计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ME200：金融数学的计算方法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hint="eastAsia" w:asciiTheme="minorHAnsi" w:hAnsiTheme="minorHAnsi" w:cstheme="minorHAnsi"/>
              </w:rPr>
              <w:t>202：社交网络分析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ME303：社会科学研究中的多元数据统计方法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ME315：机器学习实践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ME306：真实分析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</w:t>
            </w:r>
            <w:r>
              <w:rPr>
                <w:rFonts w:hint="eastAsia" w:asciiTheme="minorHAnsi" w:hAnsiTheme="minorHAnsi" w:cstheme="minorHAnsi"/>
              </w:rPr>
              <w:t>316：大型时序数据的预测方法</w:t>
            </w:r>
          </w:p>
        </w:tc>
        <w:tc>
          <w:tcPr>
            <w:tcW w:w="3012" w:type="dxa"/>
          </w:tcPr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hint="eastAsia"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E</w:t>
            </w:r>
            <w:r>
              <w:rPr>
                <w:rFonts w:hint="eastAsia" w:asciiTheme="minorHAnsi" w:hAnsiTheme="minorHAnsi" w:cstheme="minorHAnsi"/>
              </w:rPr>
              <w:t>117：经济学也计量经济学的进阶统计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ME201：</w:t>
            </w:r>
            <w:r>
              <w:rPr>
                <w:rFonts w:hint="eastAsia" w:asciiTheme="minorHAnsi" w:hAnsiTheme="minorHAnsi" w:cstheme="minorHAnsi"/>
              </w:rPr>
              <w:t>优化投资</w:t>
            </w:r>
            <w:r>
              <w:rPr>
                <w:rFonts w:asciiTheme="minorHAnsi" w:hAnsiTheme="minorHAnsi" w:cstheme="minorHAnsi"/>
              </w:rPr>
              <w:t>组合选择中的应用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ME301：调查研究方法：从设计到分析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ME302：金融数学</w:t>
            </w:r>
            <w:r>
              <w:rPr>
                <w:rFonts w:hint="eastAsia" w:asciiTheme="minorHAnsi" w:hAnsiTheme="minorHAnsi" w:cstheme="minorHAnsi"/>
              </w:rPr>
              <w:t>基础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ME305：定性研究方法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ME310：</w:t>
            </w:r>
            <w:r>
              <w:rPr>
                <w:rFonts w:hint="eastAsia" w:asciiTheme="minorHAnsi" w:hAnsiTheme="minorHAnsi" w:cstheme="minorHAnsi"/>
              </w:rPr>
              <w:t>评估结果的实验和准实验方法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ME314：数据科学与机器学习</w:t>
            </w:r>
            <w:r>
              <w:rPr>
                <w:rFonts w:hint="eastAsia" w:asciiTheme="minorHAnsi" w:hAnsiTheme="minorHAnsi" w:cstheme="minorHAnsi"/>
              </w:rPr>
              <w:t>入门</w:t>
            </w: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>
            <w:pPr>
              <w:spacing w:line="2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ME317：风险管理的统计方法</w:t>
            </w:r>
          </w:p>
        </w:tc>
      </w:tr>
    </w:tbl>
    <w:p>
      <w:pPr>
        <w:spacing w:line="200" w:lineRule="exact"/>
        <w:rPr>
          <w:rFonts w:asciiTheme="minorHAnsi" w:hAnsiTheme="minorHAnsi" w:cstheme="minorHAnsi"/>
          <w:kern w:val="0"/>
          <w:szCs w:val="20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5020"/>
    <w:rsid w:val="00006712"/>
    <w:rsid w:val="000077A9"/>
    <w:rsid w:val="00010F31"/>
    <w:rsid w:val="000169DD"/>
    <w:rsid w:val="0001734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562C"/>
    <w:rsid w:val="000362BD"/>
    <w:rsid w:val="0003777C"/>
    <w:rsid w:val="00040016"/>
    <w:rsid w:val="000402B0"/>
    <w:rsid w:val="00041148"/>
    <w:rsid w:val="00041BDA"/>
    <w:rsid w:val="00044B87"/>
    <w:rsid w:val="00046229"/>
    <w:rsid w:val="000519A2"/>
    <w:rsid w:val="00051A3D"/>
    <w:rsid w:val="0005389A"/>
    <w:rsid w:val="00060047"/>
    <w:rsid w:val="0006181E"/>
    <w:rsid w:val="00065242"/>
    <w:rsid w:val="00066BB4"/>
    <w:rsid w:val="00066CD0"/>
    <w:rsid w:val="00072B90"/>
    <w:rsid w:val="0008167D"/>
    <w:rsid w:val="000820F9"/>
    <w:rsid w:val="000840CC"/>
    <w:rsid w:val="00091C7E"/>
    <w:rsid w:val="0009206E"/>
    <w:rsid w:val="000953D3"/>
    <w:rsid w:val="000954F4"/>
    <w:rsid w:val="000A0A86"/>
    <w:rsid w:val="000A2A22"/>
    <w:rsid w:val="000A4030"/>
    <w:rsid w:val="000A5251"/>
    <w:rsid w:val="000B1A29"/>
    <w:rsid w:val="000B346F"/>
    <w:rsid w:val="000B3A73"/>
    <w:rsid w:val="000B621C"/>
    <w:rsid w:val="000C2F7C"/>
    <w:rsid w:val="000C3F5B"/>
    <w:rsid w:val="000C4E56"/>
    <w:rsid w:val="000C5C18"/>
    <w:rsid w:val="000C7F9A"/>
    <w:rsid w:val="000D4BC5"/>
    <w:rsid w:val="000D5021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0BC0"/>
    <w:rsid w:val="0012340B"/>
    <w:rsid w:val="001241E8"/>
    <w:rsid w:val="0012488E"/>
    <w:rsid w:val="00124B0D"/>
    <w:rsid w:val="00125024"/>
    <w:rsid w:val="001262F3"/>
    <w:rsid w:val="00127FE8"/>
    <w:rsid w:val="00131D30"/>
    <w:rsid w:val="00134011"/>
    <w:rsid w:val="00135F93"/>
    <w:rsid w:val="001370FA"/>
    <w:rsid w:val="00137744"/>
    <w:rsid w:val="00143294"/>
    <w:rsid w:val="00146AB9"/>
    <w:rsid w:val="00150193"/>
    <w:rsid w:val="001535A1"/>
    <w:rsid w:val="00155FCC"/>
    <w:rsid w:val="00160616"/>
    <w:rsid w:val="001621FC"/>
    <w:rsid w:val="00167799"/>
    <w:rsid w:val="00170451"/>
    <w:rsid w:val="0017244A"/>
    <w:rsid w:val="001738F0"/>
    <w:rsid w:val="00173AC0"/>
    <w:rsid w:val="00176F21"/>
    <w:rsid w:val="0018033F"/>
    <w:rsid w:val="00180AB5"/>
    <w:rsid w:val="00182AE1"/>
    <w:rsid w:val="00182E04"/>
    <w:rsid w:val="001834A2"/>
    <w:rsid w:val="0018354F"/>
    <w:rsid w:val="00185175"/>
    <w:rsid w:val="00186190"/>
    <w:rsid w:val="00190118"/>
    <w:rsid w:val="00192C0F"/>
    <w:rsid w:val="0019459B"/>
    <w:rsid w:val="001A0C7A"/>
    <w:rsid w:val="001A281F"/>
    <w:rsid w:val="001A4366"/>
    <w:rsid w:val="001A7D56"/>
    <w:rsid w:val="001B1730"/>
    <w:rsid w:val="001B1E96"/>
    <w:rsid w:val="001C1A51"/>
    <w:rsid w:val="001C6985"/>
    <w:rsid w:val="001D01C6"/>
    <w:rsid w:val="001D3619"/>
    <w:rsid w:val="001D4042"/>
    <w:rsid w:val="001D458C"/>
    <w:rsid w:val="001D4EF4"/>
    <w:rsid w:val="001D5D4C"/>
    <w:rsid w:val="001E31D7"/>
    <w:rsid w:val="001E4E86"/>
    <w:rsid w:val="001E5D98"/>
    <w:rsid w:val="001F1FCF"/>
    <w:rsid w:val="001F5524"/>
    <w:rsid w:val="001F67D2"/>
    <w:rsid w:val="00201963"/>
    <w:rsid w:val="00202030"/>
    <w:rsid w:val="00203BFF"/>
    <w:rsid w:val="00205F7F"/>
    <w:rsid w:val="002133F2"/>
    <w:rsid w:val="0021711E"/>
    <w:rsid w:val="002202A8"/>
    <w:rsid w:val="00220AE0"/>
    <w:rsid w:val="00220E2D"/>
    <w:rsid w:val="002211FB"/>
    <w:rsid w:val="0022214B"/>
    <w:rsid w:val="002274D9"/>
    <w:rsid w:val="00233816"/>
    <w:rsid w:val="0023684E"/>
    <w:rsid w:val="00240E4E"/>
    <w:rsid w:val="002441C6"/>
    <w:rsid w:val="002449A1"/>
    <w:rsid w:val="00251642"/>
    <w:rsid w:val="00254207"/>
    <w:rsid w:val="00255140"/>
    <w:rsid w:val="00261406"/>
    <w:rsid w:val="00261C11"/>
    <w:rsid w:val="00266D3D"/>
    <w:rsid w:val="002679B3"/>
    <w:rsid w:val="00271BCB"/>
    <w:rsid w:val="00274A34"/>
    <w:rsid w:val="00275270"/>
    <w:rsid w:val="0028056A"/>
    <w:rsid w:val="00280A41"/>
    <w:rsid w:val="002852EE"/>
    <w:rsid w:val="00286224"/>
    <w:rsid w:val="002906DF"/>
    <w:rsid w:val="0029179F"/>
    <w:rsid w:val="00292326"/>
    <w:rsid w:val="00295361"/>
    <w:rsid w:val="002954BF"/>
    <w:rsid w:val="00296088"/>
    <w:rsid w:val="00296348"/>
    <w:rsid w:val="00297E1A"/>
    <w:rsid w:val="002A32D9"/>
    <w:rsid w:val="002A3386"/>
    <w:rsid w:val="002A402F"/>
    <w:rsid w:val="002B5E23"/>
    <w:rsid w:val="002B61DD"/>
    <w:rsid w:val="002B7076"/>
    <w:rsid w:val="002B7158"/>
    <w:rsid w:val="002C2028"/>
    <w:rsid w:val="002C229B"/>
    <w:rsid w:val="002C27D4"/>
    <w:rsid w:val="002C3134"/>
    <w:rsid w:val="002C612F"/>
    <w:rsid w:val="002C6AEB"/>
    <w:rsid w:val="002C722D"/>
    <w:rsid w:val="002D04D0"/>
    <w:rsid w:val="002D0DAC"/>
    <w:rsid w:val="002D76B2"/>
    <w:rsid w:val="002D7B20"/>
    <w:rsid w:val="002E0BA0"/>
    <w:rsid w:val="002E1476"/>
    <w:rsid w:val="002E3299"/>
    <w:rsid w:val="002E4985"/>
    <w:rsid w:val="002E64CC"/>
    <w:rsid w:val="002F1A53"/>
    <w:rsid w:val="002F3568"/>
    <w:rsid w:val="002F7AB9"/>
    <w:rsid w:val="003013CE"/>
    <w:rsid w:val="0030157A"/>
    <w:rsid w:val="00302995"/>
    <w:rsid w:val="00303D3D"/>
    <w:rsid w:val="003047BA"/>
    <w:rsid w:val="00313A58"/>
    <w:rsid w:val="0031712B"/>
    <w:rsid w:val="0032092A"/>
    <w:rsid w:val="00321528"/>
    <w:rsid w:val="00321717"/>
    <w:rsid w:val="00321D5F"/>
    <w:rsid w:val="0032313B"/>
    <w:rsid w:val="00330EF0"/>
    <w:rsid w:val="00333C15"/>
    <w:rsid w:val="00334EC1"/>
    <w:rsid w:val="00342D9D"/>
    <w:rsid w:val="00342E7E"/>
    <w:rsid w:val="0035066E"/>
    <w:rsid w:val="003508E4"/>
    <w:rsid w:val="003518A8"/>
    <w:rsid w:val="00352A1D"/>
    <w:rsid w:val="00353816"/>
    <w:rsid w:val="00355979"/>
    <w:rsid w:val="003574A4"/>
    <w:rsid w:val="00361CCF"/>
    <w:rsid w:val="00364A0C"/>
    <w:rsid w:val="003738EA"/>
    <w:rsid w:val="00375491"/>
    <w:rsid w:val="00381E2C"/>
    <w:rsid w:val="003822A8"/>
    <w:rsid w:val="00383DCC"/>
    <w:rsid w:val="00386A4E"/>
    <w:rsid w:val="00386C51"/>
    <w:rsid w:val="00387362"/>
    <w:rsid w:val="00390C9A"/>
    <w:rsid w:val="00390FCA"/>
    <w:rsid w:val="00394758"/>
    <w:rsid w:val="00394A95"/>
    <w:rsid w:val="00396306"/>
    <w:rsid w:val="00397742"/>
    <w:rsid w:val="003A6BB9"/>
    <w:rsid w:val="003B4151"/>
    <w:rsid w:val="003B669C"/>
    <w:rsid w:val="003B786E"/>
    <w:rsid w:val="003C30F6"/>
    <w:rsid w:val="003C6EF7"/>
    <w:rsid w:val="003D0F7B"/>
    <w:rsid w:val="003D0FE9"/>
    <w:rsid w:val="003D13F7"/>
    <w:rsid w:val="003D2BCE"/>
    <w:rsid w:val="003D4037"/>
    <w:rsid w:val="003D4529"/>
    <w:rsid w:val="003D4B46"/>
    <w:rsid w:val="003D5531"/>
    <w:rsid w:val="003D5F48"/>
    <w:rsid w:val="003D7B86"/>
    <w:rsid w:val="003E01B3"/>
    <w:rsid w:val="003E3199"/>
    <w:rsid w:val="003E3788"/>
    <w:rsid w:val="003E7DA0"/>
    <w:rsid w:val="003F050A"/>
    <w:rsid w:val="003F059B"/>
    <w:rsid w:val="003F16A0"/>
    <w:rsid w:val="003F50D1"/>
    <w:rsid w:val="003F5D96"/>
    <w:rsid w:val="003F5F88"/>
    <w:rsid w:val="00402B49"/>
    <w:rsid w:val="00404265"/>
    <w:rsid w:val="0041117C"/>
    <w:rsid w:val="0041273F"/>
    <w:rsid w:val="0042204E"/>
    <w:rsid w:val="00426325"/>
    <w:rsid w:val="00430B91"/>
    <w:rsid w:val="004330A9"/>
    <w:rsid w:val="00437A33"/>
    <w:rsid w:val="00440C9F"/>
    <w:rsid w:val="00443C5D"/>
    <w:rsid w:val="004469A3"/>
    <w:rsid w:val="0045270B"/>
    <w:rsid w:val="00454C45"/>
    <w:rsid w:val="00455152"/>
    <w:rsid w:val="00461EE8"/>
    <w:rsid w:val="004624BE"/>
    <w:rsid w:val="00464F1E"/>
    <w:rsid w:val="00465A92"/>
    <w:rsid w:val="004679CE"/>
    <w:rsid w:val="00467FC8"/>
    <w:rsid w:val="00470270"/>
    <w:rsid w:val="00471CBF"/>
    <w:rsid w:val="00472046"/>
    <w:rsid w:val="00480534"/>
    <w:rsid w:val="00481A67"/>
    <w:rsid w:val="00485AD1"/>
    <w:rsid w:val="00486AA5"/>
    <w:rsid w:val="004932B6"/>
    <w:rsid w:val="004946E0"/>
    <w:rsid w:val="00495E6D"/>
    <w:rsid w:val="004A1602"/>
    <w:rsid w:val="004A51A8"/>
    <w:rsid w:val="004B49EE"/>
    <w:rsid w:val="004B4D89"/>
    <w:rsid w:val="004B516E"/>
    <w:rsid w:val="004C0E26"/>
    <w:rsid w:val="004C15F5"/>
    <w:rsid w:val="004C343D"/>
    <w:rsid w:val="004C5277"/>
    <w:rsid w:val="004C6632"/>
    <w:rsid w:val="004D2423"/>
    <w:rsid w:val="004D3884"/>
    <w:rsid w:val="004D5BBA"/>
    <w:rsid w:val="004D5D38"/>
    <w:rsid w:val="004E0748"/>
    <w:rsid w:val="004E728E"/>
    <w:rsid w:val="004F0AAB"/>
    <w:rsid w:val="004F743F"/>
    <w:rsid w:val="004F7C1B"/>
    <w:rsid w:val="00500A8F"/>
    <w:rsid w:val="00500DE1"/>
    <w:rsid w:val="005028D5"/>
    <w:rsid w:val="005043E9"/>
    <w:rsid w:val="00504FF1"/>
    <w:rsid w:val="005060F9"/>
    <w:rsid w:val="0051106C"/>
    <w:rsid w:val="00512BAE"/>
    <w:rsid w:val="005143A6"/>
    <w:rsid w:val="00520C0E"/>
    <w:rsid w:val="00521924"/>
    <w:rsid w:val="00522EAE"/>
    <w:rsid w:val="00523C32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2CC6"/>
    <w:rsid w:val="00554115"/>
    <w:rsid w:val="00554D5C"/>
    <w:rsid w:val="00555016"/>
    <w:rsid w:val="00555043"/>
    <w:rsid w:val="005559B9"/>
    <w:rsid w:val="00556212"/>
    <w:rsid w:val="005606AC"/>
    <w:rsid w:val="00563622"/>
    <w:rsid w:val="005643D6"/>
    <w:rsid w:val="0057138A"/>
    <w:rsid w:val="00571797"/>
    <w:rsid w:val="00572B6E"/>
    <w:rsid w:val="005730D7"/>
    <w:rsid w:val="005762B0"/>
    <w:rsid w:val="00584716"/>
    <w:rsid w:val="005849E3"/>
    <w:rsid w:val="00584E4F"/>
    <w:rsid w:val="00584E6C"/>
    <w:rsid w:val="005868F6"/>
    <w:rsid w:val="00586D6C"/>
    <w:rsid w:val="00587D18"/>
    <w:rsid w:val="00593AC3"/>
    <w:rsid w:val="00596D1A"/>
    <w:rsid w:val="005A31F5"/>
    <w:rsid w:val="005A65C8"/>
    <w:rsid w:val="005B5140"/>
    <w:rsid w:val="005B69C2"/>
    <w:rsid w:val="005C27A1"/>
    <w:rsid w:val="005C28B5"/>
    <w:rsid w:val="005C4BF2"/>
    <w:rsid w:val="005C67D4"/>
    <w:rsid w:val="005C7CC0"/>
    <w:rsid w:val="005D0683"/>
    <w:rsid w:val="005D474E"/>
    <w:rsid w:val="005D6F09"/>
    <w:rsid w:val="005E09FF"/>
    <w:rsid w:val="005E5A41"/>
    <w:rsid w:val="005E674A"/>
    <w:rsid w:val="005E6E17"/>
    <w:rsid w:val="005F0AD3"/>
    <w:rsid w:val="005F6112"/>
    <w:rsid w:val="006001D3"/>
    <w:rsid w:val="00606AA2"/>
    <w:rsid w:val="00606C4F"/>
    <w:rsid w:val="0060716E"/>
    <w:rsid w:val="00610563"/>
    <w:rsid w:val="00610575"/>
    <w:rsid w:val="006107E7"/>
    <w:rsid w:val="0061228A"/>
    <w:rsid w:val="006131C5"/>
    <w:rsid w:val="006139AA"/>
    <w:rsid w:val="00617A76"/>
    <w:rsid w:val="00621516"/>
    <w:rsid w:val="00621ED0"/>
    <w:rsid w:val="00622238"/>
    <w:rsid w:val="00624BB2"/>
    <w:rsid w:val="00632329"/>
    <w:rsid w:val="00636A3C"/>
    <w:rsid w:val="00637AD1"/>
    <w:rsid w:val="006415DA"/>
    <w:rsid w:val="006452B3"/>
    <w:rsid w:val="00657FCD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0FF7"/>
    <w:rsid w:val="00681291"/>
    <w:rsid w:val="00683559"/>
    <w:rsid w:val="006858D5"/>
    <w:rsid w:val="00687DBB"/>
    <w:rsid w:val="00696B1C"/>
    <w:rsid w:val="006A01E8"/>
    <w:rsid w:val="006A0D12"/>
    <w:rsid w:val="006A2B5F"/>
    <w:rsid w:val="006A2FF7"/>
    <w:rsid w:val="006A32C4"/>
    <w:rsid w:val="006A6080"/>
    <w:rsid w:val="006A72B8"/>
    <w:rsid w:val="006A7C06"/>
    <w:rsid w:val="006B28F7"/>
    <w:rsid w:val="006B576E"/>
    <w:rsid w:val="006B7C51"/>
    <w:rsid w:val="006B7C8E"/>
    <w:rsid w:val="006C1F05"/>
    <w:rsid w:val="006C2070"/>
    <w:rsid w:val="006C4514"/>
    <w:rsid w:val="006D5B15"/>
    <w:rsid w:val="006D642C"/>
    <w:rsid w:val="006F038D"/>
    <w:rsid w:val="006F43A0"/>
    <w:rsid w:val="006F70F8"/>
    <w:rsid w:val="00700EA9"/>
    <w:rsid w:val="0070255A"/>
    <w:rsid w:val="00705986"/>
    <w:rsid w:val="00705BEF"/>
    <w:rsid w:val="00706179"/>
    <w:rsid w:val="0071139B"/>
    <w:rsid w:val="007113DD"/>
    <w:rsid w:val="0071430B"/>
    <w:rsid w:val="00720659"/>
    <w:rsid w:val="0072201D"/>
    <w:rsid w:val="00726857"/>
    <w:rsid w:val="00726D8F"/>
    <w:rsid w:val="00727B01"/>
    <w:rsid w:val="007328BD"/>
    <w:rsid w:val="00733292"/>
    <w:rsid w:val="00734D73"/>
    <w:rsid w:val="00735A0C"/>
    <w:rsid w:val="00736663"/>
    <w:rsid w:val="00740DD5"/>
    <w:rsid w:val="007423FD"/>
    <w:rsid w:val="00743412"/>
    <w:rsid w:val="00760C7A"/>
    <w:rsid w:val="007619AD"/>
    <w:rsid w:val="00762330"/>
    <w:rsid w:val="007640E0"/>
    <w:rsid w:val="007652B1"/>
    <w:rsid w:val="00767A55"/>
    <w:rsid w:val="00770616"/>
    <w:rsid w:val="00770E19"/>
    <w:rsid w:val="00772B66"/>
    <w:rsid w:val="00772E22"/>
    <w:rsid w:val="00774257"/>
    <w:rsid w:val="00775505"/>
    <w:rsid w:val="00776AE1"/>
    <w:rsid w:val="00777630"/>
    <w:rsid w:val="007807CA"/>
    <w:rsid w:val="0078377B"/>
    <w:rsid w:val="00783B2F"/>
    <w:rsid w:val="00785C31"/>
    <w:rsid w:val="00795004"/>
    <w:rsid w:val="00796C00"/>
    <w:rsid w:val="007977EE"/>
    <w:rsid w:val="007A01B4"/>
    <w:rsid w:val="007A03BE"/>
    <w:rsid w:val="007A07E5"/>
    <w:rsid w:val="007A2996"/>
    <w:rsid w:val="007A385D"/>
    <w:rsid w:val="007A3E79"/>
    <w:rsid w:val="007A7362"/>
    <w:rsid w:val="007B436B"/>
    <w:rsid w:val="007B5A17"/>
    <w:rsid w:val="007B7729"/>
    <w:rsid w:val="007B7D1E"/>
    <w:rsid w:val="007C2153"/>
    <w:rsid w:val="007C348F"/>
    <w:rsid w:val="007C5BAC"/>
    <w:rsid w:val="007C66DE"/>
    <w:rsid w:val="007D0768"/>
    <w:rsid w:val="007D224F"/>
    <w:rsid w:val="007D2FE4"/>
    <w:rsid w:val="007D62F3"/>
    <w:rsid w:val="007D67D4"/>
    <w:rsid w:val="007E0C8A"/>
    <w:rsid w:val="007E26F2"/>
    <w:rsid w:val="007E2951"/>
    <w:rsid w:val="007E32E8"/>
    <w:rsid w:val="007E3816"/>
    <w:rsid w:val="007E3ADE"/>
    <w:rsid w:val="007F04ED"/>
    <w:rsid w:val="007F342D"/>
    <w:rsid w:val="007F5700"/>
    <w:rsid w:val="00802548"/>
    <w:rsid w:val="00802957"/>
    <w:rsid w:val="00814AA6"/>
    <w:rsid w:val="008153A8"/>
    <w:rsid w:val="00821496"/>
    <w:rsid w:val="00821DC7"/>
    <w:rsid w:val="00822EED"/>
    <w:rsid w:val="00826507"/>
    <w:rsid w:val="008267EE"/>
    <w:rsid w:val="0083050D"/>
    <w:rsid w:val="00831C27"/>
    <w:rsid w:val="00832E9B"/>
    <w:rsid w:val="00837952"/>
    <w:rsid w:val="008432ED"/>
    <w:rsid w:val="00843F7D"/>
    <w:rsid w:val="008450F3"/>
    <w:rsid w:val="00845245"/>
    <w:rsid w:val="00851871"/>
    <w:rsid w:val="00853833"/>
    <w:rsid w:val="00860271"/>
    <w:rsid w:val="0086227D"/>
    <w:rsid w:val="00863FEE"/>
    <w:rsid w:val="008653E0"/>
    <w:rsid w:val="00866BD2"/>
    <w:rsid w:val="00870D6A"/>
    <w:rsid w:val="0087133B"/>
    <w:rsid w:val="00872523"/>
    <w:rsid w:val="008733D7"/>
    <w:rsid w:val="008775A8"/>
    <w:rsid w:val="0088020B"/>
    <w:rsid w:val="0088113C"/>
    <w:rsid w:val="00881CA9"/>
    <w:rsid w:val="0088500C"/>
    <w:rsid w:val="00887346"/>
    <w:rsid w:val="0089014A"/>
    <w:rsid w:val="008902CF"/>
    <w:rsid w:val="00894757"/>
    <w:rsid w:val="008966E9"/>
    <w:rsid w:val="008B4949"/>
    <w:rsid w:val="008B4A3B"/>
    <w:rsid w:val="008B56E5"/>
    <w:rsid w:val="008B7215"/>
    <w:rsid w:val="008B79D1"/>
    <w:rsid w:val="008B7F03"/>
    <w:rsid w:val="008C1F77"/>
    <w:rsid w:val="008D3CFE"/>
    <w:rsid w:val="008D55B7"/>
    <w:rsid w:val="008D5E6C"/>
    <w:rsid w:val="008D5FF3"/>
    <w:rsid w:val="008D7F16"/>
    <w:rsid w:val="008E2F80"/>
    <w:rsid w:val="008E4534"/>
    <w:rsid w:val="008E54DB"/>
    <w:rsid w:val="008F1045"/>
    <w:rsid w:val="008F1FD1"/>
    <w:rsid w:val="008F6298"/>
    <w:rsid w:val="009018E4"/>
    <w:rsid w:val="00903AB5"/>
    <w:rsid w:val="00903BED"/>
    <w:rsid w:val="00905613"/>
    <w:rsid w:val="00905BF1"/>
    <w:rsid w:val="00907193"/>
    <w:rsid w:val="00907BE2"/>
    <w:rsid w:val="00913572"/>
    <w:rsid w:val="009171E7"/>
    <w:rsid w:val="00917A3B"/>
    <w:rsid w:val="0092087F"/>
    <w:rsid w:val="00920936"/>
    <w:rsid w:val="00922281"/>
    <w:rsid w:val="0092377F"/>
    <w:rsid w:val="00930DF7"/>
    <w:rsid w:val="00936821"/>
    <w:rsid w:val="009409B4"/>
    <w:rsid w:val="00940A3E"/>
    <w:rsid w:val="0094120B"/>
    <w:rsid w:val="0094276A"/>
    <w:rsid w:val="00942C75"/>
    <w:rsid w:val="009501C8"/>
    <w:rsid w:val="00951195"/>
    <w:rsid w:val="00952045"/>
    <w:rsid w:val="00952679"/>
    <w:rsid w:val="00952BA5"/>
    <w:rsid w:val="009531E1"/>
    <w:rsid w:val="00954D69"/>
    <w:rsid w:val="009554FB"/>
    <w:rsid w:val="00957EEC"/>
    <w:rsid w:val="00961B5B"/>
    <w:rsid w:val="00961BAD"/>
    <w:rsid w:val="00963696"/>
    <w:rsid w:val="009642E6"/>
    <w:rsid w:val="009645E2"/>
    <w:rsid w:val="00965CCC"/>
    <w:rsid w:val="0097060A"/>
    <w:rsid w:val="00972BCD"/>
    <w:rsid w:val="0097304E"/>
    <w:rsid w:val="0097647D"/>
    <w:rsid w:val="009824FC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5C60"/>
    <w:rsid w:val="009A69B5"/>
    <w:rsid w:val="009B0D73"/>
    <w:rsid w:val="009B3167"/>
    <w:rsid w:val="009B7CCB"/>
    <w:rsid w:val="009C020C"/>
    <w:rsid w:val="009C25A0"/>
    <w:rsid w:val="009C44ED"/>
    <w:rsid w:val="009C5D67"/>
    <w:rsid w:val="009C698C"/>
    <w:rsid w:val="009C7A2D"/>
    <w:rsid w:val="009C7CE4"/>
    <w:rsid w:val="009E18AF"/>
    <w:rsid w:val="009E4A3B"/>
    <w:rsid w:val="009E5D88"/>
    <w:rsid w:val="009F0653"/>
    <w:rsid w:val="009F1FC1"/>
    <w:rsid w:val="009F7FCB"/>
    <w:rsid w:val="00A00B17"/>
    <w:rsid w:val="00A07695"/>
    <w:rsid w:val="00A07DCE"/>
    <w:rsid w:val="00A1042E"/>
    <w:rsid w:val="00A10667"/>
    <w:rsid w:val="00A14608"/>
    <w:rsid w:val="00A1794D"/>
    <w:rsid w:val="00A207E1"/>
    <w:rsid w:val="00A220C6"/>
    <w:rsid w:val="00A2225A"/>
    <w:rsid w:val="00A2358C"/>
    <w:rsid w:val="00A23C33"/>
    <w:rsid w:val="00A2663A"/>
    <w:rsid w:val="00A31C85"/>
    <w:rsid w:val="00A32B62"/>
    <w:rsid w:val="00A32C2E"/>
    <w:rsid w:val="00A33A9E"/>
    <w:rsid w:val="00A344D7"/>
    <w:rsid w:val="00A50BF4"/>
    <w:rsid w:val="00A568B0"/>
    <w:rsid w:val="00A57829"/>
    <w:rsid w:val="00A60310"/>
    <w:rsid w:val="00A623DF"/>
    <w:rsid w:val="00A67B5E"/>
    <w:rsid w:val="00A72E16"/>
    <w:rsid w:val="00A76003"/>
    <w:rsid w:val="00A76D78"/>
    <w:rsid w:val="00A83140"/>
    <w:rsid w:val="00A843DA"/>
    <w:rsid w:val="00A84830"/>
    <w:rsid w:val="00A878D6"/>
    <w:rsid w:val="00A9241D"/>
    <w:rsid w:val="00A92D51"/>
    <w:rsid w:val="00AA1738"/>
    <w:rsid w:val="00AA2334"/>
    <w:rsid w:val="00AA4DC4"/>
    <w:rsid w:val="00AB05C6"/>
    <w:rsid w:val="00AB66D7"/>
    <w:rsid w:val="00AB694F"/>
    <w:rsid w:val="00AC32C6"/>
    <w:rsid w:val="00AD37E5"/>
    <w:rsid w:val="00AD3CFD"/>
    <w:rsid w:val="00AD7BA1"/>
    <w:rsid w:val="00AE32F1"/>
    <w:rsid w:val="00AE5279"/>
    <w:rsid w:val="00AF1520"/>
    <w:rsid w:val="00AF5247"/>
    <w:rsid w:val="00AF78C6"/>
    <w:rsid w:val="00AF7CB4"/>
    <w:rsid w:val="00B00961"/>
    <w:rsid w:val="00B01ADE"/>
    <w:rsid w:val="00B01F4F"/>
    <w:rsid w:val="00B12237"/>
    <w:rsid w:val="00B12F3C"/>
    <w:rsid w:val="00B22841"/>
    <w:rsid w:val="00B24FF7"/>
    <w:rsid w:val="00B2543C"/>
    <w:rsid w:val="00B26192"/>
    <w:rsid w:val="00B262CD"/>
    <w:rsid w:val="00B40A66"/>
    <w:rsid w:val="00B44FDB"/>
    <w:rsid w:val="00B50CF4"/>
    <w:rsid w:val="00B55BC5"/>
    <w:rsid w:val="00B57B39"/>
    <w:rsid w:val="00B60E9C"/>
    <w:rsid w:val="00B6632A"/>
    <w:rsid w:val="00B67C18"/>
    <w:rsid w:val="00B74F9C"/>
    <w:rsid w:val="00B76A1E"/>
    <w:rsid w:val="00B801E0"/>
    <w:rsid w:val="00B8044E"/>
    <w:rsid w:val="00B83422"/>
    <w:rsid w:val="00B841C1"/>
    <w:rsid w:val="00B86083"/>
    <w:rsid w:val="00B8765A"/>
    <w:rsid w:val="00B955B3"/>
    <w:rsid w:val="00BA15F6"/>
    <w:rsid w:val="00BA5348"/>
    <w:rsid w:val="00BB0CAA"/>
    <w:rsid w:val="00BB11A8"/>
    <w:rsid w:val="00BB2026"/>
    <w:rsid w:val="00BB7F1E"/>
    <w:rsid w:val="00BC2ABE"/>
    <w:rsid w:val="00BC3B43"/>
    <w:rsid w:val="00BC5535"/>
    <w:rsid w:val="00BD3A1E"/>
    <w:rsid w:val="00BE02A7"/>
    <w:rsid w:val="00BE2788"/>
    <w:rsid w:val="00BE539C"/>
    <w:rsid w:val="00BE6F4C"/>
    <w:rsid w:val="00BE78CF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17D89"/>
    <w:rsid w:val="00C20343"/>
    <w:rsid w:val="00C227C2"/>
    <w:rsid w:val="00C249A2"/>
    <w:rsid w:val="00C444EA"/>
    <w:rsid w:val="00C44F99"/>
    <w:rsid w:val="00C50408"/>
    <w:rsid w:val="00C50DF8"/>
    <w:rsid w:val="00C5114A"/>
    <w:rsid w:val="00C55BB5"/>
    <w:rsid w:val="00C61DCC"/>
    <w:rsid w:val="00C64953"/>
    <w:rsid w:val="00C65409"/>
    <w:rsid w:val="00C72F22"/>
    <w:rsid w:val="00C745E3"/>
    <w:rsid w:val="00C7494D"/>
    <w:rsid w:val="00C75C2E"/>
    <w:rsid w:val="00C766EF"/>
    <w:rsid w:val="00C773FC"/>
    <w:rsid w:val="00C807AA"/>
    <w:rsid w:val="00C80EE6"/>
    <w:rsid w:val="00C817A7"/>
    <w:rsid w:val="00C82075"/>
    <w:rsid w:val="00C861B2"/>
    <w:rsid w:val="00C8729D"/>
    <w:rsid w:val="00CA2A8B"/>
    <w:rsid w:val="00CA65E9"/>
    <w:rsid w:val="00CB1784"/>
    <w:rsid w:val="00CB4339"/>
    <w:rsid w:val="00CB67B9"/>
    <w:rsid w:val="00CB6A55"/>
    <w:rsid w:val="00CC06D4"/>
    <w:rsid w:val="00CC1890"/>
    <w:rsid w:val="00CC4709"/>
    <w:rsid w:val="00CC480B"/>
    <w:rsid w:val="00CC72C5"/>
    <w:rsid w:val="00CC7310"/>
    <w:rsid w:val="00CD056C"/>
    <w:rsid w:val="00CD332E"/>
    <w:rsid w:val="00CD41C2"/>
    <w:rsid w:val="00CD4647"/>
    <w:rsid w:val="00CD7484"/>
    <w:rsid w:val="00CE00F3"/>
    <w:rsid w:val="00CE06FC"/>
    <w:rsid w:val="00CE4335"/>
    <w:rsid w:val="00D03331"/>
    <w:rsid w:val="00D04A33"/>
    <w:rsid w:val="00D062FA"/>
    <w:rsid w:val="00D073EA"/>
    <w:rsid w:val="00D07A87"/>
    <w:rsid w:val="00D110BB"/>
    <w:rsid w:val="00D12776"/>
    <w:rsid w:val="00D12ABA"/>
    <w:rsid w:val="00D12D35"/>
    <w:rsid w:val="00D16BE4"/>
    <w:rsid w:val="00D2092D"/>
    <w:rsid w:val="00D30EB1"/>
    <w:rsid w:val="00D31AFE"/>
    <w:rsid w:val="00D332D6"/>
    <w:rsid w:val="00D346FC"/>
    <w:rsid w:val="00D351C9"/>
    <w:rsid w:val="00D35444"/>
    <w:rsid w:val="00D35A08"/>
    <w:rsid w:val="00D3691D"/>
    <w:rsid w:val="00D371C4"/>
    <w:rsid w:val="00D42657"/>
    <w:rsid w:val="00D471D1"/>
    <w:rsid w:val="00D50239"/>
    <w:rsid w:val="00D50E81"/>
    <w:rsid w:val="00D577A0"/>
    <w:rsid w:val="00D634D8"/>
    <w:rsid w:val="00D63C2D"/>
    <w:rsid w:val="00D651FF"/>
    <w:rsid w:val="00D7008E"/>
    <w:rsid w:val="00D70197"/>
    <w:rsid w:val="00D71DEB"/>
    <w:rsid w:val="00D73882"/>
    <w:rsid w:val="00D754A6"/>
    <w:rsid w:val="00D80609"/>
    <w:rsid w:val="00D82BB6"/>
    <w:rsid w:val="00D933BC"/>
    <w:rsid w:val="00D96CBF"/>
    <w:rsid w:val="00DA100A"/>
    <w:rsid w:val="00DA25AD"/>
    <w:rsid w:val="00DA73E5"/>
    <w:rsid w:val="00DB0090"/>
    <w:rsid w:val="00DB1679"/>
    <w:rsid w:val="00DB7777"/>
    <w:rsid w:val="00DC2F1C"/>
    <w:rsid w:val="00DC2F84"/>
    <w:rsid w:val="00DC4BA2"/>
    <w:rsid w:val="00DD038D"/>
    <w:rsid w:val="00DD4C8D"/>
    <w:rsid w:val="00DD7FB4"/>
    <w:rsid w:val="00DF11F3"/>
    <w:rsid w:val="00DF1C7E"/>
    <w:rsid w:val="00DF2CF8"/>
    <w:rsid w:val="00DF4AB0"/>
    <w:rsid w:val="00DF66EE"/>
    <w:rsid w:val="00E00371"/>
    <w:rsid w:val="00E07A31"/>
    <w:rsid w:val="00E07C58"/>
    <w:rsid w:val="00E17346"/>
    <w:rsid w:val="00E2219B"/>
    <w:rsid w:val="00E22461"/>
    <w:rsid w:val="00E23047"/>
    <w:rsid w:val="00E23270"/>
    <w:rsid w:val="00E23833"/>
    <w:rsid w:val="00E2596F"/>
    <w:rsid w:val="00E309FD"/>
    <w:rsid w:val="00E34DD0"/>
    <w:rsid w:val="00E403D4"/>
    <w:rsid w:val="00E50150"/>
    <w:rsid w:val="00E5049F"/>
    <w:rsid w:val="00E61308"/>
    <w:rsid w:val="00E61E70"/>
    <w:rsid w:val="00E61EE5"/>
    <w:rsid w:val="00E64653"/>
    <w:rsid w:val="00E67E38"/>
    <w:rsid w:val="00E76995"/>
    <w:rsid w:val="00E80E43"/>
    <w:rsid w:val="00E8311C"/>
    <w:rsid w:val="00E85437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C6520"/>
    <w:rsid w:val="00ED12D7"/>
    <w:rsid w:val="00ED1806"/>
    <w:rsid w:val="00ED296A"/>
    <w:rsid w:val="00ED3F02"/>
    <w:rsid w:val="00ED457C"/>
    <w:rsid w:val="00EE0B92"/>
    <w:rsid w:val="00EE0F0E"/>
    <w:rsid w:val="00EE19C9"/>
    <w:rsid w:val="00EE45C3"/>
    <w:rsid w:val="00EE68D2"/>
    <w:rsid w:val="00EF14B7"/>
    <w:rsid w:val="00EF44AD"/>
    <w:rsid w:val="00F014F8"/>
    <w:rsid w:val="00F05715"/>
    <w:rsid w:val="00F13937"/>
    <w:rsid w:val="00F141F1"/>
    <w:rsid w:val="00F17267"/>
    <w:rsid w:val="00F237B1"/>
    <w:rsid w:val="00F2468D"/>
    <w:rsid w:val="00F27587"/>
    <w:rsid w:val="00F307F9"/>
    <w:rsid w:val="00F3131F"/>
    <w:rsid w:val="00F31BE4"/>
    <w:rsid w:val="00F32538"/>
    <w:rsid w:val="00F34A00"/>
    <w:rsid w:val="00F34D93"/>
    <w:rsid w:val="00F413B3"/>
    <w:rsid w:val="00F46C9B"/>
    <w:rsid w:val="00F50F82"/>
    <w:rsid w:val="00F535FA"/>
    <w:rsid w:val="00F61472"/>
    <w:rsid w:val="00F618F0"/>
    <w:rsid w:val="00F62AEB"/>
    <w:rsid w:val="00F65201"/>
    <w:rsid w:val="00F66A6D"/>
    <w:rsid w:val="00F707BD"/>
    <w:rsid w:val="00F72010"/>
    <w:rsid w:val="00F76279"/>
    <w:rsid w:val="00F76428"/>
    <w:rsid w:val="00F77798"/>
    <w:rsid w:val="00F77B4D"/>
    <w:rsid w:val="00F820F7"/>
    <w:rsid w:val="00F82F19"/>
    <w:rsid w:val="00F83A44"/>
    <w:rsid w:val="00F85C22"/>
    <w:rsid w:val="00F86B12"/>
    <w:rsid w:val="00F87AC6"/>
    <w:rsid w:val="00F9126D"/>
    <w:rsid w:val="00F91B05"/>
    <w:rsid w:val="00F94E53"/>
    <w:rsid w:val="00F979AC"/>
    <w:rsid w:val="00FA5A8C"/>
    <w:rsid w:val="00FA6353"/>
    <w:rsid w:val="00FB32DE"/>
    <w:rsid w:val="00FB3951"/>
    <w:rsid w:val="00FB7A50"/>
    <w:rsid w:val="00FC0DF5"/>
    <w:rsid w:val="00FC44B5"/>
    <w:rsid w:val="00FC60F3"/>
    <w:rsid w:val="00FC6127"/>
    <w:rsid w:val="00FC7A4D"/>
    <w:rsid w:val="00FD08A0"/>
    <w:rsid w:val="00FD2E42"/>
    <w:rsid w:val="00FD4AA6"/>
    <w:rsid w:val="00FE29AF"/>
    <w:rsid w:val="00FE2B9E"/>
    <w:rsid w:val="00FE6123"/>
    <w:rsid w:val="00FE6555"/>
    <w:rsid w:val="00FF188C"/>
    <w:rsid w:val="00FF2A73"/>
    <w:rsid w:val="00FF3A60"/>
    <w:rsid w:val="00FF51E1"/>
    <w:rsid w:val="00FF5702"/>
    <w:rsid w:val="12714CF8"/>
    <w:rsid w:val="67A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iPriority w:val="0"/>
    <w:pPr>
      <w:jc w:val="left"/>
    </w:pPr>
  </w:style>
  <w:style w:type="paragraph" w:styleId="4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qFormat/>
    <w:uiPriority w:val="0"/>
    <w:rPr>
      <w:b/>
      <w:bCs/>
    </w:rPr>
  </w:style>
  <w:style w:type="table" w:styleId="11">
    <w:name w:val="Table Grid"/>
    <w:basedOn w:val="10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basedOn w:val="12"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qFormat/>
    <w:uiPriority w:val="0"/>
    <w:rPr>
      <w:color w:val="0068B7"/>
      <w:u w:val="none"/>
    </w:rPr>
  </w:style>
  <w:style w:type="character" w:styleId="16">
    <w:name w:val="annotation reference"/>
    <w:basedOn w:val="12"/>
    <w:uiPriority w:val="0"/>
    <w:rPr>
      <w:sz w:val="21"/>
      <w:szCs w:val="21"/>
    </w:rPr>
  </w:style>
  <w:style w:type="character" w:customStyle="1" w:styleId="17">
    <w:name w:val="141"/>
    <w:qFormat/>
    <w:uiPriority w:val="0"/>
    <w:rPr>
      <w:sz w:val="21"/>
      <w:szCs w:val="21"/>
    </w:rPr>
  </w:style>
  <w:style w:type="character" w:customStyle="1" w:styleId="18">
    <w:name w:val="ztag pre"/>
    <w:basedOn w:val="12"/>
    <w:qFormat/>
    <w:uiPriority w:val="0"/>
  </w:style>
  <w:style w:type="character" w:customStyle="1" w:styleId="19">
    <w:name w:val="已访问的超链接1"/>
    <w:uiPriority w:val="0"/>
    <w:rPr>
      <w:color w:val="800080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9"/>
    <w:qFormat/>
    <w:uiPriority w:val="0"/>
    <w:rPr>
      <w:b/>
      <w:bCs/>
      <w:kern w:val="2"/>
      <w:sz w:val="21"/>
      <w:szCs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865</Words>
  <Characters>4933</Characters>
  <Lines>41</Lines>
  <Paragraphs>11</Paragraphs>
  <TotalTime>5</TotalTime>
  <ScaleCrop>false</ScaleCrop>
  <LinksUpToDate>false</LinksUpToDate>
  <CharactersWithSpaces>5787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2017-10-13T01:52:00Z</dcterms:created>
  <dc:creator>全美国际教育协会</dc:creator>
  <cp:lastModifiedBy>韩玉</cp:lastModifiedBy>
  <cp:lastPrinted>2011-12-16T08:54:00Z</cp:lastPrinted>
  <dcterms:modified xsi:type="dcterms:W3CDTF">2020-01-09T09:05:07Z</dcterms:modified>
  <dc:title>加州大学河滨分校短期访学项目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